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color w:val="999999"/>
          <w:rtl w:val="0"/>
        </w:rPr>
        <w:t xml:space="preserve">MODELO</w:t>
      </w: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</w:t>
      </w:r>
    </w:p>
    <w:tbl>
      <w:tblPr>
        <w:tblStyle w:val="Table1"/>
        <w:bidi w:val="0"/>
        <w:tblW w:w="92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AFASTAMENTO INTEGRAL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mallCaps w:val="1"/>
                <w:rtl w:val="0"/>
              </w:rPr>
              <w:t xml:space="preserve">PARA PARTICIPAÇÃO EM PROGRAMA DE PÓS-GRADUAÇÃO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1"/>
                <w:rtl w:val="0"/>
              </w:rPr>
              <w:t xml:space="preserve">STRICTO SENSU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mallCaps w:val="1"/>
                <w:rtl w:val="0"/>
              </w:rPr>
              <w:t xml:space="preserve">OU DE PÓS-DOUTORADO 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mallCaps w:val="1"/>
                <w:rtl w:val="0"/>
              </w:rPr>
              <w:t xml:space="preserve">PROFESSOR DO ENSINO BÁSICO, TÉCNICO E TECNOLÓGICO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INTERPOSIÇÃO DE RECURSO CONTRA RESULTADO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XXX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RECURSO contra o resultado do processo de seleção para afastamento Integral, de Professor do Ensino Básico, Técnico e Tecnológico, para participação em programa de pós-graduação stricto sensu e de pós-doutorado, regido pelo Edital nº 012/IFPR de 25/05/2016, do Instituto Federal do Paraná.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Eu,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___________________________________________________________________________portador(a) do RG nº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_______________________inscrito(a) no CPF nº 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_____________________________, matrícula siape nº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________________________, Professor do Ensino Básico, Técnico e Tecnológico, regularmente inscrito(a) para concorrer às vagas ofertadas na seleção para afastamento integral para participação em programa de pós-graduação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stricto sensu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ou de pós-doutorado, no país ou no exterior, do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Campus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 venho por meio deste, interpor RECURSO à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em face do resultado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tendo por objeto de contestação a(s) seguinte(s) decisão (ões):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Os argumentos com os quais contesto a(s) referida (s) decisão (ões) são: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fundamentar essa contestação, encaminho em anexo os seguintes documentos listados abaixo: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Junho de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 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Servidor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Matrícula Siape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Cargo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Campus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rtl w:val="0"/>
        </w:rPr>
        <w:t xml:space="preserve">XXX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1133.8582677165355" w:left="1275" w:right="1133.8582677165355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247650</wp:posOffset>
          </wp:positionH>
          <wp:positionV relativeFrom="paragraph">
            <wp:posOffset>495300</wp:posOffset>
          </wp:positionV>
          <wp:extent cx="5753735" cy="673100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