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PROTOCOLO RECEBIMENTO </w:t>
      </w:r>
    </w:p>
    <w:p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 SOLICITAÇÃO</w:t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 xml:space="preserve">PROGRAMA DE ASSISTÊNCIA COMPLEMENTAR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AO ESTUDANTE – EDIÇÃO 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  <w:t>COMPROVANTE DO/A ESTUDANTE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PACE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>Protocolo número: 001/CTBA*</w:t>
            </w:r>
            <w:r>
              <w:rPr>
                <w:b/>
              </w:rPr>
              <w:t xml:space="preserve">         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001/CTBA*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center"/>
              <w:rPr/>
            </w:pPr>
            <w:r>
              <w:rPr/>
              <w:t>COMPROVANTE DO/A ESTUDANTE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PACE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 xml:space="preserve">Protocolo número: 002/CTBA*  </w:t>
            </w:r>
            <w:r>
              <w:rPr>
                <w:b/>
              </w:rPr>
              <w:t xml:space="preserve">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002/CTBA*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  <w:t>COMPROVANTE DO/A ESTUDANTE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PACE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>Protocolo número: 003/CTBA*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003/CTBA*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  <w:color w:val="FF0000"/>
          <w:sz w:val="2"/>
          <w:szCs w:val="2"/>
        </w:rPr>
      </w:pPr>
      <w:r>
        <w:rPr>
          <w:b/>
          <w:color w:val="FF0000"/>
          <w:sz w:val="2"/>
          <w:szCs w:val="2"/>
        </w:rPr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*Substituir a sigla do campus conforme a unidade da SEPAE, para controle. É importante que o número sequencial seja mantido para estatística 2016.</w:t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Destaque no tracejado e entregue o comprovante ao/à estudante. É importante, pois em caso de recurso o/a mesmo/a precisará para solicitá-lo.</w:t>
      </w:r>
    </w:p>
    <w:sectPr>
      <w:headerReference w:type="default" r:id="rId2"/>
      <w:footerReference w:type="default" r:id="rId3"/>
      <w:type w:val="nextPage"/>
      <w:pgSz w:orient="landscape" w:w="16838" w:h="11906"/>
      <w:pgMar w:left="170" w:right="709" w:header="142" w:top="568" w:footer="137" w:bottom="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center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970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IV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1A55-CC0F-4FA6-B387-8E47279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2016-01-28T20:14:00Z</dcterms:created>
  <dc:creator>Usuário</dc:creator>
  <dc:language>pt-BR</dc:language>
  <cp:lastModifiedBy>Usuário</cp:lastModifiedBy>
  <cp:lastPrinted>2016-01-07T16:21:00Z</cp:lastPrinted>
  <dcterms:modified xsi:type="dcterms:W3CDTF">2016-01-28T20:14:00Z</dcterms:modified>
  <cp:revision>2</cp:revision>
</cp:coreProperties>
</file>