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C" w:rsidRPr="00155A18" w:rsidRDefault="00A031E7" w:rsidP="00FE43EC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  <w:bookmarkStart w:id="0" w:name="_GoBack"/>
      <w:bookmarkEnd w:id="0"/>
      <w:r w:rsidRPr="00155A18">
        <w:rPr>
          <w:rFonts w:ascii="Book Antiqua" w:hAnsi="Book Antiqua" w:cs="Times New Roman"/>
          <w:b/>
          <w:sz w:val="26"/>
          <w:szCs w:val="26"/>
        </w:rPr>
        <w:t>ILUSTRÍSSIM</w:t>
      </w:r>
      <w:r w:rsidR="006C57F3">
        <w:rPr>
          <w:rFonts w:ascii="Book Antiqua" w:hAnsi="Book Antiqua" w:cs="Times New Roman"/>
          <w:b/>
          <w:sz w:val="26"/>
          <w:szCs w:val="26"/>
        </w:rPr>
        <w:t>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S SENHORES DA COMISSÃO DE LICITAÇÃO DO </w:t>
      </w:r>
      <w:r w:rsidR="00FA190D">
        <w:rPr>
          <w:rFonts w:ascii="Book Antiqua" w:hAnsi="Book Antiqua" w:cs="Times New Roman"/>
          <w:b/>
          <w:sz w:val="26"/>
          <w:szCs w:val="26"/>
        </w:rPr>
        <w:t>INSTITUTO FEDERAL DO PARANÁ</w:t>
      </w: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FE43EC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b/>
          <w:sz w:val="26"/>
          <w:szCs w:val="26"/>
        </w:rPr>
        <w:t xml:space="preserve">Pregão </w:t>
      </w:r>
      <w:r w:rsidR="007A64D4" w:rsidRPr="00155A18">
        <w:rPr>
          <w:rFonts w:ascii="Book Antiqua" w:hAnsi="Book Antiqua" w:cs="Times New Roman"/>
          <w:b/>
          <w:sz w:val="26"/>
          <w:szCs w:val="26"/>
        </w:rPr>
        <w:t>Eletrônico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nº: </w:t>
      </w:r>
      <w:r w:rsidR="00FA190D">
        <w:rPr>
          <w:rFonts w:ascii="Book Antiqua" w:hAnsi="Book Antiqua" w:cs="Times New Roman"/>
          <w:i/>
          <w:sz w:val="26"/>
          <w:szCs w:val="26"/>
        </w:rPr>
        <w:t>02/2017</w:t>
      </w:r>
    </w:p>
    <w:p w:rsidR="00F44038" w:rsidRPr="00155A18" w:rsidRDefault="00F4403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</w:p>
    <w:p w:rsidR="00A031E7" w:rsidRPr="00155A18" w:rsidRDefault="001A2FC4" w:rsidP="00FA190D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  <w:r w:rsidRPr="00155A18">
        <w:rPr>
          <w:rFonts w:ascii="Book Antiqua" w:hAnsi="Book Antiqua"/>
          <w:sz w:val="26"/>
          <w:szCs w:val="26"/>
        </w:rPr>
        <w:t>, pessoa jurídica de direito privado, inscrita no CNPJ sob o nº 04.970.088/0001-25, com sede na Rua</w:t>
      </w:r>
      <w:r>
        <w:rPr>
          <w:rFonts w:ascii="Book Antiqua" w:hAnsi="Book Antiqua"/>
          <w:sz w:val="26"/>
          <w:szCs w:val="26"/>
        </w:rPr>
        <w:t xml:space="preserve"> Presidente Rodrigo Otávio, 359</w:t>
      </w:r>
      <w:r w:rsidRPr="00155A1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Alto da XV</w:t>
      </w:r>
      <w:r w:rsidRPr="00155A18">
        <w:rPr>
          <w:rFonts w:ascii="Book Antiqua" w:hAnsi="Book Antiqua"/>
          <w:sz w:val="26"/>
          <w:szCs w:val="26"/>
        </w:rPr>
        <w:t xml:space="preserve">, CEP: </w:t>
      </w:r>
      <w:r>
        <w:rPr>
          <w:rFonts w:ascii="Book Antiqua" w:hAnsi="Book Antiqua"/>
          <w:sz w:val="26"/>
          <w:szCs w:val="26"/>
        </w:rPr>
        <w:t>80.045-395</w:t>
      </w:r>
      <w:r w:rsidRPr="00155A18">
        <w:rPr>
          <w:rFonts w:ascii="Book Antiqua" w:hAnsi="Book Antiqua"/>
          <w:bCs/>
          <w:sz w:val="26"/>
          <w:szCs w:val="26"/>
        </w:rPr>
        <w:t>, Curitiba/PR</w:t>
      </w:r>
      <w:r w:rsidRPr="00155A18">
        <w:rPr>
          <w:rFonts w:ascii="Book Antiqua" w:hAnsi="Book Antiqua" w:cs="Times New Roman"/>
          <w:sz w:val="26"/>
          <w:szCs w:val="26"/>
        </w:rPr>
        <w:t xml:space="preserve">, neste ato representada por seu procurador infra-assinado, vem, mui respeitosamente, à presença de V.Sas, </w:t>
      </w:r>
      <w:r w:rsidRPr="00155A18">
        <w:rPr>
          <w:rFonts w:ascii="Book Antiqua" w:hAnsi="Book Antiqua"/>
          <w:sz w:val="26"/>
          <w:szCs w:val="26"/>
        </w:rPr>
        <w:t xml:space="preserve">apresentar </w:t>
      </w:r>
      <w:r w:rsidRPr="00155A18">
        <w:rPr>
          <w:rFonts w:ascii="Book Antiqua" w:hAnsi="Book Antiqua"/>
          <w:b/>
          <w:sz w:val="26"/>
          <w:szCs w:val="26"/>
        </w:rPr>
        <w:t>RECURSO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A031E7" w:rsidRPr="00155A18">
        <w:rPr>
          <w:rFonts w:ascii="Book Antiqua" w:hAnsi="Book Antiqua"/>
          <w:sz w:val="26"/>
          <w:szCs w:val="26"/>
        </w:rPr>
        <w:t xml:space="preserve">contra a decisão que habilitou e classificou a empresa </w:t>
      </w:r>
      <w:r w:rsidR="00500774">
        <w:rPr>
          <w:rFonts w:ascii="Book Antiqua" w:hAnsi="Book Antiqua"/>
          <w:sz w:val="26"/>
          <w:szCs w:val="26"/>
        </w:rPr>
        <w:t>PONTUAL SERVIÇOS TERCEIRIZADOS LTDA - EPP</w:t>
      </w:r>
      <w:r w:rsidR="00D33B31" w:rsidRPr="00155A18">
        <w:rPr>
          <w:rFonts w:ascii="Book Antiqua" w:hAnsi="Book Antiqua"/>
          <w:sz w:val="26"/>
          <w:szCs w:val="26"/>
        </w:rPr>
        <w:t>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Requer que as presentes razões recursais sejam recebidas e providas e, não havendo deferimento, nos termos do §4º do artigo 109 da Lei nº 8666/93, seja remetido à autoridade superior para análise e julgamento.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Nestes termos,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Pede deferimento.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ab/>
        <w:t xml:space="preserve">Curitiba, </w:t>
      </w:r>
      <w:r w:rsidR="00FA190D">
        <w:rPr>
          <w:rFonts w:ascii="Book Antiqua" w:hAnsi="Book Antiqua"/>
          <w:sz w:val="26"/>
          <w:szCs w:val="26"/>
        </w:rPr>
        <w:t>0</w:t>
      </w:r>
      <w:r w:rsidR="001166FD">
        <w:rPr>
          <w:rFonts w:ascii="Book Antiqua" w:hAnsi="Book Antiqua"/>
          <w:sz w:val="26"/>
          <w:szCs w:val="26"/>
        </w:rPr>
        <w:t>2</w:t>
      </w:r>
      <w:r w:rsidRPr="00155A18">
        <w:rPr>
          <w:rFonts w:ascii="Book Antiqua" w:hAnsi="Book Antiqua"/>
          <w:sz w:val="26"/>
          <w:szCs w:val="26"/>
        </w:rPr>
        <w:t xml:space="preserve"> de </w:t>
      </w:r>
      <w:r w:rsidR="00FA190D">
        <w:rPr>
          <w:rFonts w:ascii="Book Antiqua" w:hAnsi="Book Antiqua"/>
          <w:sz w:val="26"/>
          <w:szCs w:val="26"/>
        </w:rPr>
        <w:t>março</w:t>
      </w:r>
      <w:r w:rsidRPr="00155A18">
        <w:rPr>
          <w:rFonts w:ascii="Book Antiqua" w:hAnsi="Book Antiqua"/>
          <w:sz w:val="26"/>
          <w:szCs w:val="26"/>
        </w:rPr>
        <w:t xml:space="preserve"> de 201</w:t>
      </w:r>
      <w:r w:rsidR="003F76E6" w:rsidRPr="00155A18">
        <w:rPr>
          <w:rFonts w:ascii="Book Antiqua" w:hAnsi="Book Antiqua"/>
          <w:sz w:val="26"/>
          <w:szCs w:val="26"/>
        </w:rPr>
        <w:t>7.</w:t>
      </w:r>
    </w:p>
    <w:p w:rsidR="00A031E7" w:rsidRPr="00155A18" w:rsidRDefault="00A031E7" w:rsidP="00A031E7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</w:p>
    <w:p w:rsidR="00F44038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1A2FC4"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81B8F" w:rsidP="00796DF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567" w:hanging="207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Pr="00155A18">
        <w:rPr>
          <w:rFonts w:ascii="Book Antiqua" w:hAnsi="Book Antiqua"/>
          <w:b/>
          <w:sz w:val="26"/>
          <w:szCs w:val="26"/>
        </w:rPr>
        <w:t xml:space="preserve">SÍNTESE DOS FATOS – </w:t>
      </w:r>
      <w:r>
        <w:rPr>
          <w:rFonts w:ascii="Book Antiqua" w:hAnsi="Book Antiqua"/>
          <w:b/>
          <w:sz w:val="26"/>
          <w:szCs w:val="26"/>
        </w:rPr>
        <w:t>ESCLARECIMENTO PRÉVIOS</w:t>
      </w:r>
    </w:p>
    <w:p w:rsidR="00A031E7" w:rsidRPr="00155A18" w:rsidRDefault="00A031E7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i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Trata o presente processo licitatório, de Concorrência para a </w:t>
      </w:r>
      <w:r w:rsidRPr="00155A18">
        <w:rPr>
          <w:rFonts w:ascii="Book Antiqua" w:hAnsi="Book Antiqua"/>
          <w:i/>
          <w:sz w:val="26"/>
          <w:szCs w:val="26"/>
        </w:rPr>
        <w:t xml:space="preserve">“Contratação </w:t>
      </w:r>
      <w:r w:rsidR="00FA190D">
        <w:rPr>
          <w:rFonts w:ascii="Book Antiqua" w:hAnsi="Book Antiqua"/>
          <w:i/>
          <w:sz w:val="26"/>
          <w:szCs w:val="26"/>
        </w:rPr>
        <w:t>de empresa especializada na prestação de serviços continuados de limpeza, conservação e higienização, com fornecimento de materiais, uniformes e equipamentos necessários à execução dos serviços</w:t>
      </w:r>
      <w:r w:rsidRPr="00155A18">
        <w:rPr>
          <w:rFonts w:ascii="Book Antiqua" w:hAnsi="Book Antiqua"/>
          <w:i/>
          <w:sz w:val="26"/>
          <w:szCs w:val="26"/>
        </w:rPr>
        <w:t>”.</w:t>
      </w:r>
    </w:p>
    <w:p w:rsidR="00A031E7" w:rsidRDefault="001166F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licitante </w:t>
      </w:r>
      <w:r w:rsidR="00411109">
        <w:rPr>
          <w:rFonts w:ascii="Book Antiqua" w:hAnsi="Book Antiqua"/>
          <w:sz w:val="26"/>
          <w:szCs w:val="26"/>
        </w:rPr>
        <w:t>PONTUAL SERVIÇOS TERCEIRIZADOS LTDA - EPP</w:t>
      </w:r>
      <w:r>
        <w:rPr>
          <w:rFonts w:ascii="Book Antiqua" w:hAnsi="Book Antiqua"/>
          <w:sz w:val="26"/>
          <w:szCs w:val="26"/>
        </w:rPr>
        <w:t xml:space="preserve"> foi declarada habilitada e vencedora dos seguintes itens licitados: Item </w:t>
      </w:r>
      <w:r w:rsidR="00500774">
        <w:rPr>
          <w:rFonts w:ascii="Book Antiqua" w:hAnsi="Book Antiqua"/>
          <w:sz w:val="26"/>
          <w:szCs w:val="26"/>
        </w:rPr>
        <w:t>7</w:t>
      </w:r>
      <w:r w:rsidR="0065372D">
        <w:rPr>
          <w:rFonts w:ascii="Book Antiqua" w:hAnsi="Book Antiqua"/>
          <w:sz w:val="26"/>
          <w:szCs w:val="26"/>
        </w:rPr>
        <w:t xml:space="preserve"> – Campus</w:t>
      </w:r>
      <w:r w:rsidR="00500774">
        <w:rPr>
          <w:rFonts w:ascii="Book Antiqua" w:hAnsi="Book Antiqua"/>
          <w:sz w:val="26"/>
          <w:szCs w:val="26"/>
        </w:rPr>
        <w:t xml:space="preserve"> Colombo; Item 9 – Campus Curitiba; Item 10 – Educação à Distância A; Item 11 – Educação à Distância B; Item 12 – Educação à Distância C; Item 16 – Campus Ivaiporã; Item 17 – Campus Jacarezinho; Item 18 – Campus Jaguariaíva; Item 23 – Campus Paranavaí; Item 25 – Campus Pitanga; Item 27 – Reitoria A; Item 28 – Reitoria B; Item 29 – Reitoria C; Item 32 – Campus União da Vitória</w:t>
      </w:r>
      <w:r>
        <w:rPr>
          <w:rFonts w:ascii="Book Antiqua" w:hAnsi="Book Antiqua"/>
          <w:sz w:val="26"/>
          <w:szCs w:val="26"/>
        </w:rPr>
        <w:t>, conforme Ata de Realização de Pregão Eletrônico n° 2/2017 (SRP).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Preliminarmente a Recorrente pede licença para reafirmar o respeito que dedica ao Sr. Pregoeiro, aos membros da douta Comissão Especial de Licitação e à digna Autoridade Julgadora. Destaca que o presente recurso tem estrita vinculação à interpretação objetiva dos fatos do procedimento licitatório. As eventuais discordâncias deduzidas neste recurso fundamentam-se no entendimento que se pretende para o texto da Constituição, da Lei e do Edital, diverso daquela adotada na decisão recorrida.</w:t>
      </w:r>
    </w:p>
    <w:p w:rsidR="001166FD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lastRenderedPageBreak/>
        <w:t>Contudo a Recorrente não pode quedar-se inerte ante a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irregularidade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da proposta vencedora.</w:t>
      </w:r>
    </w:p>
    <w:p w:rsidR="00FA190D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Inobstante a análise criteriosa do Sr. Pregoeiro a proposta vencedora não atende às exigências legais e editalícias, apresentadas, conforme adiante restará demonstrado.</w:t>
      </w:r>
    </w:p>
    <w:p w:rsidR="000F25A2" w:rsidRDefault="000F25A2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</w:p>
    <w:p w:rsidR="007D528F" w:rsidRPr="007D528F" w:rsidRDefault="007D528F" w:rsidP="007D52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DAS IRREGULARIDADES DA HABILITAÇÃO DA RECORRIDA – AUSÊNCIA DE COMPROVAÇÃO DE CAPACIDADE TÉCNICA EXIGIDA 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Antes de adentrar ao mérito do recurso, vale destacar que a comprovação da capacidade técnica visa auferir maior segurança à Administração Pública, em razão do conhecimento técnico pretérito do licitante para execução do certame.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aspecto ensina Joel de Menezes Niebuhr: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7D528F">
        <w:rPr>
          <w:rFonts w:ascii="Book Antiqua" w:hAnsi="Book Antiqua"/>
          <w:i/>
          <w:sz w:val="26"/>
          <w:szCs w:val="26"/>
        </w:rPr>
        <w:t>“Administração Pública, ao avaliar a qualificação técnica dos licitantes, pretende aferir se eles dispõem dos conhecimentos, da experiência e do aparato operacional suficiente para satisfazer o contrato administrativo</w:t>
      </w:r>
      <w:r>
        <w:rPr>
          <w:rStyle w:val="Refdenotaderodap"/>
          <w:rFonts w:ascii="Book Antiqua" w:hAnsi="Book Antiqua"/>
          <w:i/>
          <w:sz w:val="26"/>
          <w:szCs w:val="26"/>
        </w:rPr>
        <w:footnoteReference w:id="1"/>
      </w:r>
      <w:r w:rsidRPr="007D528F">
        <w:rPr>
          <w:rFonts w:ascii="Book Antiqua" w:hAnsi="Book Antiqua"/>
          <w:i/>
          <w:sz w:val="26"/>
          <w:szCs w:val="26"/>
        </w:rPr>
        <w:t>”</w:t>
      </w:r>
    </w:p>
    <w:p w:rsidR="00C7176D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Destarte, a Lei 8.666/93 traz em seu bojo a necessidade de constatação e comprovação técnica dos licitantes </w:t>
      </w:r>
      <w:r>
        <w:rPr>
          <w:rFonts w:ascii="Book Antiqua" w:hAnsi="Book Antiqua"/>
          <w:b/>
          <w:sz w:val="26"/>
          <w:szCs w:val="26"/>
        </w:rPr>
        <w:t>em plena observância ao disposto no Edital</w:t>
      </w:r>
      <w:r>
        <w:rPr>
          <w:rFonts w:ascii="Book Antiqua" w:hAnsi="Book Antiqua"/>
          <w:sz w:val="26"/>
          <w:szCs w:val="26"/>
        </w:rPr>
        <w:t>, conforme artigo 30, II e §1°, I.</w:t>
      </w:r>
    </w:p>
    <w:p w:rsidR="00796DF7" w:rsidRPr="00155A18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contexto, o</w:t>
      </w:r>
      <w:r w:rsidR="00796DF7" w:rsidRPr="00155A18">
        <w:rPr>
          <w:rFonts w:ascii="Book Antiqua" w:hAnsi="Book Antiqua"/>
          <w:sz w:val="26"/>
          <w:szCs w:val="26"/>
        </w:rPr>
        <w:t xml:space="preserve"> edital referente ao pregão eletrônico </w:t>
      </w:r>
      <w:r w:rsidR="007D528F">
        <w:rPr>
          <w:rFonts w:ascii="Book Antiqua" w:hAnsi="Book Antiqua"/>
          <w:sz w:val="26"/>
          <w:szCs w:val="26"/>
        </w:rPr>
        <w:t>02/2017</w:t>
      </w:r>
      <w:r w:rsidR="00796DF7" w:rsidRPr="00155A18">
        <w:rPr>
          <w:rFonts w:ascii="Book Antiqua" w:hAnsi="Book Antiqua"/>
          <w:sz w:val="26"/>
          <w:szCs w:val="26"/>
        </w:rPr>
        <w:t xml:space="preserve">, publicado pela </w:t>
      </w:r>
      <w:r w:rsidR="007D528F">
        <w:rPr>
          <w:rFonts w:ascii="Book Antiqua" w:hAnsi="Book Antiqua"/>
          <w:sz w:val="26"/>
          <w:szCs w:val="26"/>
        </w:rPr>
        <w:t xml:space="preserve">Instituto Federal do Paraná (IFPR), especificamente pela </w:t>
      </w:r>
      <w:r w:rsidR="007D528F">
        <w:rPr>
          <w:rFonts w:ascii="Book Antiqua" w:hAnsi="Book Antiqua"/>
          <w:sz w:val="26"/>
          <w:szCs w:val="26"/>
        </w:rPr>
        <w:lastRenderedPageBreak/>
        <w:t>sua Diretoria de Compras e Licitações</w:t>
      </w:r>
      <w:r w:rsidR="00796DF7" w:rsidRPr="00155A18">
        <w:rPr>
          <w:rFonts w:ascii="Book Antiqua" w:hAnsi="Book Antiqua"/>
          <w:sz w:val="26"/>
          <w:szCs w:val="26"/>
        </w:rPr>
        <w:t>, pre</w:t>
      </w:r>
      <w:r>
        <w:rPr>
          <w:rFonts w:ascii="Book Antiqua" w:hAnsi="Book Antiqua"/>
          <w:sz w:val="26"/>
          <w:szCs w:val="26"/>
        </w:rPr>
        <w:t>vê</w:t>
      </w:r>
      <w:r w:rsidR="00796DF7" w:rsidRPr="00155A18">
        <w:rPr>
          <w:rFonts w:ascii="Book Antiqua" w:hAnsi="Book Antiqua"/>
          <w:sz w:val="26"/>
          <w:szCs w:val="26"/>
        </w:rPr>
        <w:t>, dentre outros requisitos, a necessidade de apresentar atestado de comprovação de prestação de serviço semelhante</w:t>
      </w:r>
      <w:r>
        <w:rPr>
          <w:rFonts w:ascii="Book Antiqua" w:hAnsi="Book Antiqua"/>
          <w:sz w:val="26"/>
          <w:szCs w:val="26"/>
        </w:rPr>
        <w:t xml:space="preserve"> em período não inferior a 3 (três) anos, assim como tal serviço tenha sido executado com um mínimo de 50% dos metros quadrados da Área Interna (A)</w:t>
      </w:r>
      <w:r w:rsidR="00796DF7" w:rsidRPr="00155A18">
        <w:rPr>
          <w:rFonts w:ascii="Book Antiqua" w:hAnsi="Book Antiqua"/>
          <w:sz w:val="26"/>
          <w:szCs w:val="26"/>
        </w:rPr>
        <w:t>, veja-se:</w:t>
      </w:r>
    </w:p>
    <w:p w:rsid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>26.1.  A empresa licitante deverá apresentar para comprovação da Qualificação Técnico-operacional os seguintes documentos:</w:t>
      </w:r>
    </w:p>
    <w:p w:rsidR="00C7176D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 </w:t>
      </w:r>
      <w:r w:rsidRPr="00987517">
        <w:rPr>
          <w:rFonts w:ascii="Book Antiqua" w:hAnsi="Book Antiqua"/>
          <w:b/>
          <w:i/>
          <w:sz w:val="26"/>
          <w:szCs w:val="26"/>
        </w:rPr>
        <w:t>1 (um) atestado (ou declaração), no mínimo</w:t>
      </w:r>
      <w:r w:rsidRPr="00987517">
        <w:rPr>
          <w:rFonts w:ascii="Book Antiqua" w:hAnsi="Book Antiqua"/>
          <w:i/>
          <w:sz w:val="26"/>
          <w:szCs w:val="26"/>
        </w:rPr>
        <w:t xml:space="preserve">, emitido por pessoa jurídica de direito público ou privado, em nome da LICITANTE, o qual comprove que a licitante prestou ou está prestando, de forma satisfatória, serviço compatível com o objeto deste Termo de Referência, </w:t>
      </w:r>
      <w:r w:rsidRPr="00987517">
        <w:rPr>
          <w:rFonts w:ascii="Book Antiqua" w:hAnsi="Book Antiqua"/>
          <w:b/>
          <w:i/>
          <w:sz w:val="26"/>
          <w:szCs w:val="26"/>
        </w:rPr>
        <w:t>similar em quantidades e características;</w:t>
      </w:r>
    </w:p>
    <w:p w:rsidR="00125B8B" w:rsidRPr="00987517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26.1.1.1 Os atestados (declarações) de capacidade técnico-operacional deverão referir-se a </w:t>
      </w:r>
      <w:r w:rsidRPr="00987517">
        <w:rPr>
          <w:rFonts w:ascii="Book Antiqua" w:hAnsi="Book Antiqua"/>
          <w:b/>
          <w:i/>
          <w:sz w:val="26"/>
          <w:szCs w:val="26"/>
        </w:rPr>
        <w:t>serviços prestados no âmbito da atividade econômica principal ou secundária</w:t>
      </w:r>
      <w:r w:rsidRPr="00987517">
        <w:rPr>
          <w:rFonts w:ascii="Book Antiqua" w:hAnsi="Book Antiqua"/>
          <w:i/>
          <w:sz w:val="26"/>
          <w:szCs w:val="26"/>
        </w:rPr>
        <w:t xml:space="preserve"> da LICITANTE especificadas no contrato social registrado na junta comercial competente, bem como no cadastro de pessoas Jurídicas da Receita Federal do Brasil - RFB; </w:t>
      </w:r>
      <w:r>
        <w:rPr>
          <w:rFonts w:ascii="Book Antiqua" w:hAnsi="Book Antiqua"/>
          <w:i/>
          <w:sz w:val="26"/>
          <w:szCs w:val="26"/>
        </w:rPr>
        <w:t xml:space="preserve"> </w:t>
      </w: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b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26.1.1.2 Os atestados (declarações) deverão comprovar que a LICITANTE tenha executado serviços de terceirização compatíveis em quantidade com o </w:t>
      </w:r>
      <w:r w:rsidRPr="00C7176D">
        <w:rPr>
          <w:rFonts w:ascii="Book Antiqua" w:hAnsi="Book Antiqua"/>
          <w:b/>
          <w:i/>
          <w:sz w:val="26"/>
          <w:szCs w:val="26"/>
        </w:rPr>
        <w:t>objeto licitado por período não inferior a 3 (três) anos, até a data da abertura da sessão pública da licitação;</w:t>
      </w: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55A18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26.1.1.3 Os atestados (declarações) deverão </w:t>
      </w:r>
      <w:r w:rsidRPr="00C7176D">
        <w:rPr>
          <w:rFonts w:ascii="Book Antiqua" w:hAnsi="Book Antiqua"/>
          <w:b/>
          <w:i/>
          <w:sz w:val="26"/>
          <w:szCs w:val="26"/>
        </w:rPr>
        <w:t xml:space="preserve">comprovar que a licitante tenha executado contrato com um mínimo de 50% dos metros quadrados do item Área interna (A) </w:t>
      </w:r>
      <w:r w:rsidRPr="00C7176D">
        <w:rPr>
          <w:rFonts w:ascii="Book Antiqua" w:hAnsi="Book Antiqua"/>
          <w:i/>
          <w:sz w:val="26"/>
          <w:szCs w:val="26"/>
        </w:rPr>
        <w:t>do quadro disposto no item 3.2.1 deste termo de referência, para melhor caracterização considera-se para atestado a área interna limpa, em edificações não-residenciais;</w:t>
      </w:r>
    </w:p>
    <w:p w:rsidR="00796DF7" w:rsidRDefault="00796DF7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Contudo, </w:t>
      </w:r>
      <w:r w:rsidR="00C7176D">
        <w:rPr>
          <w:rFonts w:ascii="Book Antiqua" w:hAnsi="Book Antiqua"/>
          <w:sz w:val="26"/>
          <w:szCs w:val="26"/>
        </w:rPr>
        <w:t xml:space="preserve">nota-se que os atestados apresentados pela </w:t>
      </w:r>
      <w:r w:rsidR="00500774">
        <w:rPr>
          <w:rFonts w:ascii="Book Antiqua" w:hAnsi="Book Antiqua"/>
          <w:sz w:val="26"/>
          <w:szCs w:val="26"/>
        </w:rPr>
        <w:t>PONTUAL</w:t>
      </w:r>
      <w:r w:rsidR="00C7176D">
        <w:rPr>
          <w:rFonts w:ascii="Book Antiqua" w:hAnsi="Book Antiqua"/>
          <w:sz w:val="26"/>
          <w:szCs w:val="26"/>
        </w:rPr>
        <w:t xml:space="preserve"> não preenchem os requisitos aprazados de forma clara e cogente no Edital, o que invalida sua habilitação, tornando-a desclassificada e não vencedora dos itens </w:t>
      </w:r>
      <w:r w:rsidR="00500774">
        <w:rPr>
          <w:rFonts w:ascii="Book Antiqua" w:hAnsi="Book Antiqua"/>
          <w:sz w:val="26"/>
          <w:szCs w:val="26"/>
        </w:rPr>
        <w:t>7, 9, 10, 11, 12, 16, 17, 18, 23, 25, 27, 28, 29 e 32</w:t>
      </w:r>
      <w:r w:rsidR="0065372D">
        <w:rPr>
          <w:rFonts w:ascii="Book Antiqua" w:hAnsi="Book Antiqua"/>
          <w:sz w:val="26"/>
          <w:szCs w:val="26"/>
        </w:rPr>
        <w:t xml:space="preserve"> dos objetos</w:t>
      </w:r>
      <w:r w:rsidR="00C7176D">
        <w:rPr>
          <w:rFonts w:ascii="Book Antiqua" w:hAnsi="Book Antiqua"/>
          <w:sz w:val="26"/>
          <w:szCs w:val="26"/>
        </w:rPr>
        <w:t xml:space="preserve"> licitados.</w:t>
      </w:r>
    </w:p>
    <w:p w:rsidR="00C7176D" w:rsidRDefault="00C7176D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não implementação da capacidade técnica fica </w:t>
      </w:r>
      <w:r w:rsidR="00574444">
        <w:rPr>
          <w:rFonts w:ascii="Book Antiqua" w:hAnsi="Book Antiqua"/>
          <w:sz w:val="26"/>
          <w:szCs w:val="26"/>
        </w:rPr>
        <w:t xml:space="preserve">latente e inconteste na medida em que a </w:t>
      </w:r>
      <w:r w:rsidR="00500774">
        <w:rPr>
          <w:rFonts w:ascii="Book Antiqua" w:hAnsi="Book Antiqua"/>
          <w:sz w:val="26"/>
          <w:szCs w:val="26"/>
        </w:rPr>
        <w:t>PONTUAL</w:t>
      </w:r>
      <w:r w:rsidR="00574444">
        <w:rPr>
          <w:rFonts w:ascii="Book Antiqua" w:hAnsi="Book Antiqua"/>
          <w:sz w:val="26"/>
          <w:szCs w:val="26"/>
        </w:rPr>
        <w:t xml:space="preserve"> apresentou atestados ou sem os três anos exigidos, ou não sem atender a metragem mínima exigida. Exemplifica-se no quadro a seguir: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2351"/>
        <w:gridCol w:w="1547"/>
        <w:gridCol w:w="1418"/>
        <w:gridCol w:w="1278"/>
        <w:gridCol w:w="1434"/>
        <w:gridCol w:w="1754"/>
      </w:tblGrid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ascii="Arial" w:hAnsi="Arial" w:cs="Arial"/>
                <w:sz w:val="20"/>
                <w:szCs w:val="20"/>
              </w:rPr>
            </w:pPr>
            <w:r w:rsidRPr="00500774">
              <w:rPr>
                <w:rFonts w:ascii="Arial" w:hAnsi="Arial" w:cs="Arial"/>
                <w:sz w:val="20"/>
                <w:szCs w:val="20"/>
              </w:rPr>
              <w:t>CLIENTE</w:t>
            </w:r>
          </w:p>
        </w:tc>
        <w:tc>
          <w:tcPr>
            <w:tcW w:w="1547" w:type="dxa"/>
          </w:tcPr>
          <w:p w:rsidR="00500774" w:rsidRPr="00500774" w:rsidRDefault="00500774" w:rsidP="00500774">
            <w:pPr>
              <w:rPr>
                <w:rFonts w:ascii="Arial" w:hAnsi="Arial" w:cs="Arial"/>
                <w:sz w:val="20"/>
                <w:szCs w:val="20"/>
              </w:rPr>
            </w:pPr>
            <w:r w:rsidRPr="00500774">
              <w:rPr>
                <w:rFonts w:ascii="Arial" w:hAnsi="Arial" w:cs="Arial"/>
                <w:sz w:val="20"/>
                <w:szCs w:val="20"/>
              </w:rPr>
              <w:t xml:space="preserve">INICIO </w:t>
            </w:r>
          </w:p>
        </w:tc>
        <w:tc>
          <w:tcPr>
            <w:tcW w:w="1418" w:type="dxa"/>
          </w:tcPr>
          <w:p w:rsidR="00500774" w:rsidRPr="00500774" w:rsidRDefault="00500774" w:rsidP="00500774">
            <w:pPr>
              <w:rPr>
                <w:rFonts w:ascii="Arial" w:hAnsi="Arial" w:cs="Arial"/>
                <w:sz w:val="20"/>
                <w:szCs w:val="20"/>
              </w:rPr>
            </w:pPr>
            <w:r w:rsidRPr="00500774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ascii="Arial" w:hAnsi="Arial" w:cs="Arial"/>
                <w:sz w:val="20"/>
                <w:szCs w:val="20"/>
              </w:rPr>
            </w:pPr>
            <w:r w:rsidRPr="00500774">
              <w:rPr>
                <w:rFonts w:ascii="Arial" w:hAnsi="Arial" w:cs="Arial"/>
                <w:sz w:val="20"/>
                <w:szCs w:val="20"/>
              </w:rPr>
              <w:t>EMISSÃO</w:t>
            </w:r>
          </w:p>
        </w:tc>
        <w:tc>
          <w:tcPr>
            <w:tcW w:w="1434" w:type="dxa"/>
          </w:tcPr>
          <w:p w:rsidR="00500774" w:rsidRPr="00803B93" w:rsidRDefault="00500774" w:rsidP="00500774">
            <w:r w:rsidRPr="00803B93">
              <w:t xml:space="preserve">M² </w:t>
            </w:r>
          </w:p>
        </w:tc>
        <w:tc>
          <w:tcPr>
            <w:tcW w:w="1754" w:type="dxa"/>
          </w:tcPr>
          <w:p w:rsidR="00500774" w:rsidRPr="00015E1C" w:rsidRDefault="00500774" w:rsidP="00500774">
            <w:r w:rsidRPr="00015E1C">
              <w:t>OBSERVAÇÃO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 xml:space="preserve">AB Administradora 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12/02/2013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31/03/2015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02/09/2016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Não informa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1 servente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G3 Incorporações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20/01/2014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Não informado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10/08/2016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Não informa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>2 Serventes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Instituto Teotonio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02/07/2014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15/04/2016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19/07/2016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Não informa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1 Servente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Bptran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10/05/2012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18/11/2013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1.198,00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Instituto Criminalistica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18/04/2013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1.254,00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Instituto Criminalistica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22/05/2013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18/11/2013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1.254,00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Academia Guatupê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18/10/2013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6.820,00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Policia Civil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18/10/2013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8.450,00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Policia Civil Cascavel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13/11/2012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12/05/2013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3.600,00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SESP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08/12/2012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7.420,00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Policia Civil Curitiba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10/01/2013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92.980,00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Escola Superior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10/07/2013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3.190,00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Governo Paraná Comando Geral PM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08/12/2012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7.062,00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Parque Anibal Khury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11/01/2013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10/07/2013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4.445,00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Corpo de Bombeiros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10/07/2013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9.634,00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Corregedoria da Policia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11/06/2012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10/07/2013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2.346,00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  <w:tr w:rsidR="00500774" w:rsidTr="00500774">
        <w:tc>
          <w:tcPr>
            <w:tcW w:w="2351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Graer</w:t>
            </w:r>
          </w:p>
        </w:tc>
        <w:tc>
          <w:tcPr>
            <w:tcW w:w="1547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11/01/2001</w:t>
            </w:r>
          </w:p>
        </w:tc>
        <w:tc>
          <w:tcPr>
            <w:tcW w:w="1418" w:type="dxa"/>
            <w:vAlign w:val="bottom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10/07/2013</w:t>
            </w:r>
          </w:p>
        </w:tc>
        <w:tc>
          <w:tcPr>
            <w:tcW w:w="1278" w:type="dxa"/>
          </w:tcPr>
          <w:p w:rsidR="00500774" w:rsidRPr="00500774" w:rsidRDefault="00500774" w:rsidP="00500774">
            <w:pPr>
              <w:rPr>
                <w:rFonts w:cs="Arial"/>
                <w:sz w:val="20"/>
                <w:szCs w:val="20"/>
              </w:rPr>
            </w:pPr>
            <w:r w:rsidRPr="00500774">
              <w:rPr>
                <w:rFonts w:cs="Arial"/>
                <w:sz w:val="20"/>
                <w:szCs w:val="20"/>
              </w:rPr>
              <w:t>14/03/2016</w:t>
            </w:r>
          </w:p>
        </w:tc>
        <w:tc>
          <w:tcPr>
            <w:tcW w:w="1434" w:type="dxa"/>
          </w:tcPr>
          <w:p w:rsidR="00500774" w:rsidRPr="00500774" w:rsidRDefault="00500774" w:rsidP="00500774">
            <w:r w:rsidRPr="00500774">
              <w:t xml:space="preserve">               932,00 </w:t>
            </w:r>
          </w:p>
        </w:tc>
        <w:tc>
          <w:tcPr>
            <w:tcW w:w="1754" w:type="dxa"/>
          </w:tcPr>
          <w:p w:rsidR="00500774" w:rsidRPr="00500774" w:rsidRDefault="00500774" w:rsidP="00500774">
            <w:r w:rsidRPr="00500774">
              <w:t xml:space="preserve"> </w:t>
            </w:r>
          </w:p>
        </w:tc>
      </w:tr>
    </w:tbl>
    <w:p w:rsidR="00574444" w:rsidRPr="00155A18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Depreende-se a insuficiência dos atestados de capacidade técnica, seja pelo inferior tempo de duração, seja pela ausência de indicação da metragem na qual se executou o serviço</w:t>
      </w:r>
    </w:p>
    <w:p w:rsidR="00574444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Para que seja minuciosa a análise referente a metragem</w:t>
      </w:r>
      <w:r w:rsidR="00D74F33">
        <w:rPr>
          <w:rFonts w:ascii="Book Antiqua" w:hAnsi="Book Antiqua"/>
          <w:sz w:val="26"/>
          <w:szCs w:val="26"/>
        </w:rPr>
        <w:t xml:space="preserve"> – já que incontroverso a ausência do tempo mínimo nos três últimos citados no quadro acima – veja-se a metragem dos lotes vencidos pela </w:t>
      </w:r>
      <w:r w:rsidR="00500774">
        <w:rPr>
          <w:rFonts w:ascii="Book Antiqua" w:hAnsi="Book Antiqua"/>
          <w:sz w:val="26"/>
          <w:szCs w:val="26"/>
        </w:rPr>
        <w:t>PONTUAL</w:t>
      </w:r>
      <w:r w:rsidR="00D74F33">
        <w:rPr>
          <w:rFonts w:ascii="Book Antiqua" w:hAnsi="Book Antiqua"/>
          <w:sz w:val="26"/>
          <w:szCs w:val="26"/>
        </w:rPr>
        <w:t xml:space="preserve"> e o mínimo que deveria ser comprovado pelos atestados:</w:t>
      </w:r>
    </w:p>
    <w:tbl>
      <w:tblPr>
        <w:tblW w:w="10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255"/>
        <w:gridCol w:w="3408"/>
        <w:gridCol w:w="2544"/>
      </w:tblGrid>
      <w:tr w:rsidR="00D74F33" w:rsidRPr="00D74F33" w:rsidTr="00500774">
        <w:trPr>
          <w:trHeight w:val="868"/>
        </w:trPr>
        <w:tc>
          <w:tcPr>
            <w:tcW w:w="10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500774" w:rsidRDefault="00500774" w:rsidP="001C67A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PONTUAL SERVIÇOS TERCEIRIZADOS LTDA - EPP</w:t>
            </w:r>
          </w:p>
          <w:p w:rsidR="00D74F33" w:rsidRPr="00500774" w:rsidRDefault="00D74F33" w:rsidP="001C67A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Resumo dos lotes</w:t>
            </w:r>
          </w:p>
        </w:tc>
      </w:tr>
      <w:tr w:rsidR="00D74F33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500774" w:rsidRDefault="00D74F33" w:rsidP="001C67A6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500774" w:rsidRDefault="00D74F33" w:rsidP="00125B8B">
            <w:pPr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500774" w:rsidRDefault="00D74F33" w:rsidP="00D74F33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>M² MÍNIMA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500774" w:rsidRDefault="00D74F33" w:rsidP="001C67A6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Estimado anual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Colombo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2.746,54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1.373,27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344.276,52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Curitiba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6.489,03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3.244,52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605.413,92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>Campus Ivaiporã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1054E6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>3.890,47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1054E6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                        1.945,24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1054E6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         483.741,36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Jacarezinho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5.339,48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2.669,74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652.924,68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Campus </w:t>
            </w:r>
            <w:r>
              <w:rPr>
                <w:rFonts w:cs="Arial"/>
                <w:color w:val="000000"/>
                <w:sz w:val="20"/>
                <w:szCs w:val="20"/>
                <w:lang w:eastAsia="pt-BR"/>
              </w:rPr>
              <w:t>J</w:t>
            </w: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aguariaíva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2.446,57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1.223,29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262.932,24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Paranavaí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6.015,09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                            3.007,55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453.546,12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Pitanga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     750,00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127.080,00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Campus União da Vitória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2.446,57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1.223,29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406.650,12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Educação à Distância - 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1.588,00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     794,00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123.125,76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Educação à Distância -B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392,61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     196,31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47.434,68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Educação à Distância - 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                 200,00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33.120,00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Reitoria - 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2.814,65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 1.407,33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217.891,68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Reitoria -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1.652,70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                         826,35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167.142,00 </w:t>
            </w:r>
          </w:p>
        </w:tc>
      </w:tr>
      <w:tr w:rsidR="00500774" w:rsidRPr="00D74F33" w:rsidTr="00500774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Reitoria - 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jc w:val="right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>435,35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                                217,68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0774" w:rsidRPr="00500774" w:rsidRDefault="00500774" w:rsidP="00500774">
            <w:pPr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500774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             34.180,08 </w:t>
            </w:r>
          </w:p>
        </w:tc>
      </w:tr>
    </w:tbl>
    <w:p w:rsidR="00E0467B" w:rsidRPr="006C57F3" w:rsidRDefault="0028397A" w:rsidP="0028397A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6C57F3">
        <w:rPr>
          <w:rFonts w:ascii="Book Antiqua" w:hAnsi="Book Antiqua"/>
          <w:sz w:val="26"/>
          <w:szCs w:val="26"/>
        </w:rPr>
        <w:t xml:space="preserve">Os contratos e atestados apresentados </w:t>
      </w:r>
      <w:r w:rsidRPr="006C57F3">
        <w:rPr>
          <w:rFonts w:ascii="Book Antiqua" w:hAnsi="Book Antiqua"/>
          <w:b/>
          <w:sz w:val="26"/>
          <w:szCs w:val="26"/>
        </w:rPr>
        <w:t>não comprovam o mínimo</w:t>
      </w:r>
      <w:r w:rsidRPr="006C57F3">
        <w:rPr>
          <w:rFonts w:ascii="Book Antiqua" w:hAnsi="Book Antiqua"/>
          <w:sz w:val="26"/>
          <w:szCs w:val="26"/>
        </w:rPr>
        <w:t xml:space="preserve"> de 3 (três) anos de experiência e os atestados </w:t>
      </w:r>
      <w:r w:rsidRPr="006C57F3">
        <w:rPr>
          <w:rFonts w:ascii="Book Antiqua" w:hAnsi="Book Antiqua"/>
          <w:b/>
          <w:sz w:val="26"/>
          <w:szCs w:val="26"/>
        </w:rPr>
        <w:t>não comprovam a exigência de 50% da metragem</w:t>
      </w:r>
      <w:r w:rsidRPr="006C57F3">
        <w:rPr>
          <w:rFonts w:ascii="Book Antiqua" w:hAnsi="Book Antiqua"/>
          <w:sz w:val="26"/>
          <w:szCs w:val="26"/>
        </w:rPr>
        <w:t xml:space="preserve">, ou seja, </w:t>
      </w:r>
      <w:r w:rsidR="001054E6" w:rsidRPr="006C57F3">
        <w:rPr>
          <w:rFonts w:ascii="Book Antiqua" w:hAnsi="Book Antiqua"/>
          <w:sz w:val="26"/>
          <w:szCs w:val="26"/>
        </w:rPr>
        <w:t>19.078,53</w:t>
      </w:r>
      <w:r w:rsidR="008A5329" w:rsidRPr="006C57F3">
        <w:rPr>
          <w:rFonts w:ascii="Book Antiqua" w:hAnsi="Book Antiqua"/>
          <w:sz w:val="26"/>
          <w:szCs w:val="26"/>
        </w:rPr>
        <w:t xml:space="preserve"> m²</w:t>
      </w:r>
      <w:r w:rsidRPr="006C57F3">
        <w:rPr>
          <w:rFonts w:ascii="Book Antiqua" w:hAnsi="Book Antiqua"/>
          <w:sz w:val="26"/>
          <w:szCs w:val="26"/>
        </w:rPr>
        <w:t xml:space="preserve"> por período superior três anos, exigência do edital</w:t>
      </w:r>
      <w:r w:rsidR="00E0467B" w:rsidRPr="006C57F3">
        <w:rPr>
          <w:rFonts w:ascii="Book Antiqua" w:hAnsi="Book Antiqua"/>
          <w:sz w:val="26"/>
          <w:szCs w:val="26"/>
        </w:rPr>
        <w:t>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Vale destacar que o próprio Edital prevê a hipótese de somar os atestados, </w:t>
      </w:r>
      <w:r>
        <w:rPr>
          <w:rFonts w:ascii="Book Antiqua" w:hAnsi="Book Antiqua"/>
          <w:b/>
          <w:sz w:val="26"/>
          <w:szCs w:val="26"/>
        </w:rPr>
        <w:t>desde que sejam em períodos concomitantes</w:t>
      </w:r>
      <w:r>
        <w:rPr>
          <w:rFonts w:ascii="Book Antiqua" w:hAnsi="Book Antiqua"/>
          <w:sz w:val="26"/>
          <w:szCs w:val="26"/>
        </w:rPr>
        <w:t>, conforme item 54.1.1.1.</w:t>
      </w:r>
    </w:p>
    <w:p w:rsidR="00D74F33" w:rsidRP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Em assim sendo, resta evidente e axiológica a insuficiência nos atestados de capacidade técnica, pois não apresentam a metragem mínimo, ou não comprovam o tempo mínimo exigidos pelo Edital.</w:t>
      </w:r>
    </w:p>
    <w:p w:rsidR="00A774FC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</w:t>
      </w:r>
      <w:r w:rsidR="00A774FC" w:rsidRPr="00155A18">
        <w:rPr>
          <w:rFonts w:ascii="Book Antiqua" w:hAnsi="Book Antiqua"/>
          <w:sz w:val="26"/>
          <w:szCs w:val="26"/>
        </w:rPr>
        <w:t>ão cabe e não se permite ao Pregoeiro dispensar elemento documental essencial a licitação com base – indicação no Edital como obrigatória – em diligência ou conhecimentos, conforme trecho final do art. 43, §3 da Lei 8.666/93 que veda “a inclusão posterior de documento ou informação que deveria constar originariamente da proposta”.</w:t>
      </w:r>
    </w:p>
    <w:p w:rsidR="007764FD" w:rsidRPr="00155A18" w:rsidRDefault="007764FD" w:rsidP="007764FD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Ainda</w:t>
      </w:r>
      <w:r w:rsidRPr="00155A18">
        <w:rPr>
          <w:rFonts w:ascii="Book Antiqua" w:hAnsi="Book Antiqua"/>
          <w:sz w:val="26"/>
          <w:szCs w:val="26"/>
        </w:rPr>
        <w:t>, destaca Marça</w:t>
      </w:r>
      <w:r>
        <w:rPr>
          <w:rFonts w:ascii="Book Antiqua" w:hAnsi="Book Antiqua"/>
          <w:sz w:val="26"/>
          <w:szCs w:val="26"/>
        </w:rPr>
        <w:t>l</w:t>
      </w:r>
      <w:r w:rsidRPr="00155A18">
        <w:rPr>
          <w:rFonts w:ascii="Book Antiqua" w:hAnsi="Book Antiqua"/>
          <w:sz w:val="26"/>
          <w:szCs w:val="26"/>
        </w:rPr>
        <w:t xml:space="preserve"> Justen Filho que “qual a extensão da diligência? A Lei determina a vedação à apresentação de documentos que deveriam ter constatado dos envelopes”</w:t>
      </w:r>
      <w:r w:rsidRPr="00155A18">
        <w:rPr>
          <w:rStyle w:val="Refdenotaderodap"/>
          <w:rFonts w:ascii="Book Antiqua" w:hAnsi="Book Antiqua"/>
          <w:sz w:val="26"/>
          <w:szCs w:val="26"/>
        </w:rPr>
        <w:footnoteReference w:id="2"/>
      </w:r>
      <w:r w:rsidRPr="00155A18">
        <w:rPr>
          <w:rFonts w:ascii="Book Antiqua" w:hAnsi="Book Antiqua"/>
          <w:sz w:val="26"/>
          <w:szCs w:val="26"/>
        </w:rPr>
        <w:t>.</w:t>
      </w:r>
    </w:p>
    <w:p w:rsidR="00A774FC" w:rsidRDefault="00A774FC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O fato é que a exigência no Edital vincula a sua apresentação, não cabe aos concorrentes ou ao Pregoeiro julgar se a documentação técnica exigida é ou não correto. Apenas deve cumprir o disposto no Edital quando este e</w:t>
      </w:r>
      <w:r w:rsidR="00D74F33">
        <w:rPr>
          <w:rFonts w:ascii="Book Antiqua" w:hAnsi="Book Antiqua"/>
          <w:sz w:val="26"/>
          <w:szCs w:val="26"/>
        </w:rPr>
        <w:t xml:space="preserve">xigir certa comprovação técnica, exegese dos artigos 3° e 41 da Lei 8.666/93, </w:t>
      </w:r>
      <w:r w:rsidR="00D74F33">
        <w:rPr>
          <w:rFonts w:ascii="Book Antiqua" w:hAnsi="Book Antiqua"/>
          <w:i/>
          <w:sz w:val="26"/>
          <w:szCs w:val="26"/>
        </w:rPr>
        <w:t>in verbis</w:t>
      </w:r>
      <w:r w:rsid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3</w:t>
      </w:r>
      <w:r>
        <w:rPr>
          <w:rFonts w:ascii="Book Antiqua" w:hAnsi="Book Antiqua"/>
          <w:i/>
          <w:sz w:val="26"/>
          <w:szCs w:val="26"/>
        </w:rPr>
        <w:t>°</w:t>
      </w:r>
      <w:r w:rsidRPr="00D74F33">
        <w:rPr>
          <w:rFonts w:ascii="Book Antiqua" w:hAnsi="Book Antiqua"/>
          <w:i/>
          <w:sz w:val="26"/>
          <w:szCs w:val="26"/>
        </w:rPr>
        <w:t xml:space="preserve">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Sobre a temática, Marçal JUSTEN FILHO destaca que a comissão deverá verificar a regularidade formal dos documentos: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“O exame dos documentos da fase de habilitação deve ser minucioso e detalhado. Não se admite exame meramente formal, que se satisfaça com a constatação de que os documentos referidos no edital foram apresentados. A Comissão deverá verificar a regularidade formal dos documentos, investigando inclusive sua autenticidade. O próprio conteúdo dos documentos deve ser verificado. (...) As declarações e documentos de capacitação técnica devem ser investigados em profundidade.”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No sentido defendido, veja-se a decisão do Tribunal de Justiça do Rio Grande do Sul, que entendeu pertinente a desclassificação por irregularidades existentes n</w:t>
      </w:r>
      <w:r>
        <w:rPr>
          <w:rFonts w:ascii="Book Antiqua" w:hAnsi="Book Antiqua"/>
          <w:sz w:val="26"/>
          <w:szCs w:val="26"/>
        </w:rPr>
        <w:t>a documentação</w:t>
      </w:r>
      <w:r w:rsidRP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 xml:space="preserve">APELAÇÃO CÍVEL. LICITAÇÃO E CONTRATO ADMINISTRATIVO. CONCORRÊNCIA PÚBLICA. HABILITAÇÃO. RECURSO ADMINISTRATIVO. PROPOSTA DE JULGAMENTO ELABORADA PELO PRESIDENTE DA COMISSÃO DE LICITAÇÃO. HOMOLOGAÇÃO POR AUTORIDADE SUPERIOR. ATENDIMENTO AO DISPOSTO NO ART. 109, § 4º, DA LEI N. 8.666/93. PRECEDENTES DO STJ E DO TJRS. EXIGÊNCIA DA JUNTADA DE BALANÇO PATRIMONIAL E NOTAS EXPLICATIVAS. ILEGALIDADE. INOCORRÊNCIA. 1. Tendo em vista que o certame foi homologado pela autoridade superior, a qual foi encaminhada a proposta de apreciação do recurso interpôs, tem-se por atendido o disposto no art. 109, § 4º, da Lei n. 8.666/93. Precedentes do STJ e do TJRS. 2. Exigência da juntada do balanço patrimonial, acrescido das notas explicativas, que não se mostra abusiva. Princípio da vinculação ao edital. </w:t>
      </w:r>
      <w:r w:rsidRPr="007764FD">
        <w:rPr>
          <w:rFonts w:ascii="Book Antiqua" w:hAnsi="Book Antiqua"/>
          <w:b/>
          <w:i/>
          <w:sz w:val="26"/>
          <w:szCs w:val="26"/>
          <w:u w:val="single"/>
        </w:rPr>
        <w:t>Desclassificação da impetrante, diante da ausência da documentação prevista em Edital.</w:t>
      </w:r>
      <w:r w:rsidRPr="00D74F33">
        <w:rPr>
          <w:rFonts w:ascii="Book Antiqua" w:hAnsi="Book Antiqua"/>
          <w:i/>
          <w:sz w:val="26"/>
          <w:szCs w:val="26"/>
        </w:rPr>
        <w:t xml:space="preserve"> APELO DESPROVIDO. (Apelação Cível Nº 70045832623, Segunda Câmara Cível - Serviço de Apoio Jurisdição, Tribunal de Justiça do RS, Relator: Ricardo Torres Hermann, Julgado em 14/08/2013)</w:t>
      </w:r>
    </w:p>
    <w:p w:rsidR="003F76E6" w:rsidRDefault="003F76E6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Desta forma, tendo em vista que a empresa </w:t>
      </w:r>
      <w:r w:rsidR="001054E6">
        <w:rPr>
          <w:rFonts w:ascii="Book Antiqua" w:hAnsi="Book Antiqua"/>
          <w:sz w:val="26"/>
          <w:szCs w:val="26"/>
        </w:rPr>
        <w:t>PONTUAL SERVIÇO TERCEIRIZADOS LTDA- EPP</w:t>
      </w:r>
      <w:r w:rsidRPr="00155A18">
        <w:rPr>
          <w:rFonts w:ascii="Book Antiqua" w:hAnsi="Book Antiqua"/>
          <w:sz w:val="26"/>
          <w:szCs w:val="26"/>
        </w:rPr>
        <w:t xml:space="preserve"> </w:t>
      </w:r>
      <w:r w:rsidR="007764FD">
        <w:rPr>
          <w:rFonts w:ascii="Book Antiqua" w:hAnsi="Book Antiqua"/>
          <w:sz w:val="26"/>
          <w:szCs w:val="26"/>
        </w:rPr>
        <w:t>apresentou atestados de capacidade técnica insuficientes, pois não apresentam metragem mínima, tampouco comprovam o tempo mínimo 3 (três) exigidos pelo Edital, pugna-se pela sua desclassificação da Recorrida, em atenção ao artigo 48, I da Lei 8.666/93 (</w:t>
      </w:r>
      <w:r w:rsidR="007764FD" w:rsidRPr="007764FD">
        <w:rPr>
          <w:rFonts w:ascii="Book Antiqua" w:hAnsi="Book Antiqua"/>
          <w:i/>
          <w:sz w:val="26"/>
          <w:szCs w:val="26"/>
        </w:rPr>
        <w:t>Serão desclassificadas: I - as propostas que não atendam às exigências do ato convocatório da licitação</w:t>
      </w:r>
      <w:r w:rsidR="007764FD">
        <w:rPr>
          <w:rFonts w:ascii="Book Antiqua" w:hAnsi="Book Antiqua"/>
          <w:sz w:val="26"/>
          <w:szCs w:val="26"/>
        </w:rPr>
        <w:t>).</w:t>
      </w:r>
    </w:p>
    <w:p w:rsidR="00500774" w:rsidRPr="002A0A4D" w:rsidRDefault="00500774" w:rsidP="00500774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DESCUMPRIMENTO EDITAL - </w:t>
      </w:r>
      <w:r w:rsidRPr="002A0A4D">
        <w:rPr>
          <w:rFonts w:ascii="Book Antiqua" w:hAnsi="Book Antiqua"/>
          <w:b/>
          <w:sz w:val="26"/>
          <w:szCs w:val="26"/>
        </w:rPr>
        <w:t>PROPOSTA COTADA EM ALÍQUOTAS</w:t>
      </w:r>
    </w:p>
    <w:p w:rsidR="00500774" w:rsidRDefault="00500774" w:rsidP="00500774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Não obstante aos vícios citados acima, destaque-se, ainda, que a Recorrida também incidiu em contradição as exigências do Edital na cotação de sua proposta, pois não se atentou-se ao item 17.8.2 do Termo de Referência.</w:t>
      </w:r>
    </w:p>
    <w:p w:rsidR="00500774" w:rsidRDefault="00500774" w:rsidP="00500774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Preceitua o item 17.8.2 que as propostas das empresas de incidência não-cumulativas não poderão apresentar cotação em percentual em alíquotas, veja-se:</w:t>
      </w:r>
    </w:p>
    <w:p w:rsidR="00500774" w:rsidRDefault="00500774" w:rsidP="00500774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 w:cs="Times New Roman"/>
          <w:i/>
          <w:sz w:val="26"/>
          <w:szCs w:val="26"/>
        </w:rPr>
      </w:pPr>
      <w:r w:rsidRPr="00A81B8F">
        <w:rPr>
          <w:rFonts w:ascii="Book Antiqua" w:hAnsi="Book Antiqua" w:cs="Times New Roman"/>
          <w:i/>
          <w:sz w:val="26"/>
          <w:szCs w:val="26"/>
        </w:rPr>
        <w:t xml:space="preserve">17.8.2. Para </w:t>
      </w:r>
      <w:r w:rsidRPr="00A81B8F">
        <w:rPr>
          <w:rFonts w:ascii="Book Antiqua" w:hAnsi="Book Antiqua" w:cs="Times New Roman"/>
          <w:b/>
          <w:i/>
          <w:sz w:val="26"/>
          <w:szCs w:val="26"/>
        </w:rPr>
        <w:t>as empresas tributadas pelo regime de incidência não-cumulativa de PIS e de COFINS não será admitida, em nenhuma hipótese, a cotação do percentual integral das alíquotas relativas</w:t>
      </w:r>
      <w:r w:rsidRPr="00A81B8F">
        <w:rPr>
          <w:rFonts w:ascii="Book Antiqua" w:hAnsi="Book Antiqua" w:cs="Times New Roman"/>
          <w:i/>
          <w:sz w:val="26"/>
          <w:szCs w:val="26"/>
        </w:rPr>
        <w:t xml:space="preserve"> a PIS (1,65%) e COFINS (7,60%), tendo em vista que as Leis 10.637/2002 e 10.833/2003 permitem o desconto de créditos apurados com base em custos, despesas e encargos da pessoa jurídica pagos em etapas anteriores, fazendo com que o valor do tributo efetivamente recolhido, em relação ao faturamento, seja inferior à alíquota dessas contribuições.</w:t>
      </w:r>
    </w:p>
    <w:p w:rsidR="00500774" w:rsidRDefault="00500774" w:rsidP="00500774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Entretanto, na proposta da Recorrida, tem-se sua cotação baseada em alíquotas de 1,65% e 7,6%, circunstância que, também, coaduna na desclassificação da proposta da Recorrida.</w:t>
      </w:r>
    </w:p>
    <w:p w:rsidR="00A81B8F" w:rsidRPr="00155A18" w:rsidRDefault="00A81B8F" w:rsidP="00A81B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eastAsia="ヒラギノ角ゴ Pro W3" w:hAnsi="Book Antiqua"/>
          <w:b/>
          <w:color w:val="000000"/>
          <w:sz w:val="26"/>
          <w:szCs w:val="26"/>
          <w:lang w:eastAsia="pt-BR"/>
        </w:rPr>
        <w:t>DO PRINCÍPIO DO JULGAMENTO OBJETIVO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Ainda, conforme intuito da Constituição e da Legislação atinente as matérias administrativas, na defesa do princípio da impessoalidade e da legalidade, prescreveram-se nestes documentos legislativos dispositivos que determinam a prevalência do </w:t>
      </w:r>
      <w:r w:rsidRPr="00155A18">
        <w:rPr>
          <w:rFonts w:ascii="Book Antiqua" w:hAnsi="Book Antiqua" w:cs="Times New Roman"/>
          <w:b/>
          <w:sz w:val="26"/>
          <w:szCs w:val="26"/>
        </w:rPr>
        <w:t>princípio do julgamento objetivo</w:t>
      </w:r>
      <w:r w:rsidRPr="00155A18">
        <w:rPr>
          <w:rFonts w:ascii="Book Antiqua" w:hAnsi="Book Antiqua" w:cs="Times New Roman"/>
          <w:sz w:val="26"/>
          <w:szCs w:val="26"/>
        </w:rPr>
        <w:t>, de modo a restringir o âmbito de discricionariedade da administração e garantir tratamento isonômico aos licitantes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3"/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Tal previsão encontra-se expressamente no art. 37, da CR: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nº. 19) [...]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Como na Lei nº. 8.666/93, em seus artigos 3º, 41 e 45: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45. O JULGAMENTO DAS PROPOSTAS SERÁ OBJETIVO, devendo a Comissão de licitação ou o responsável pelo convite realiza-lo em conformidade com os tipos de licitação, OS CRITÉRIOS PREVIAMENTE ESTABELECIDOS NO ATO CONVOCATÓRIO E DE ACORDO COM OS FATORES EXCLUSIVAMENTE NELE REFERIDOS, de maneira a possibilitar sua aferição pelos licitantes e pelos órgãos de controle</w:t>
      </w:r>
      <w:r w:rsidRPr="00155A18">
        <w:rPr>
          <w:rFonts w:ascii="Book Antiqua" w:hAnsi="Book Antiqua" w:cs="Times New Roman"/>
          <w:sz w:val="26"/>
          <w:szCs w:val="26"/>
        </w:rPr>
        <w:t xml:space="preserve">.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Entendimento que se repete na jurisprudência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4"/>
      </w:r>
      <w:r w:rsidRPr="00155A18">
        <w:rPr>
          <w:rFonts w:ascii="Book Antiqua" w:hAnsi="Book Antiqua" w:cs="Times New Roman"/>
          <w:sz w:val="26"/>
          <w:szCs w:val="26"/>
        </w:rPr>
        <w:t xml:space="preserve"> do Superior Tribunal de Justiça, para o qual o processo licitatório está subordinado ao princípio de que seus julgamentos são de natureza objetiva: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</w:pPr>
      <w:r w:rsidRPr="00155A18"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  <w:t>“1. No processo licitatório a comissão está subordinada ao princípio de que seus julgamentos são de natureza objetiva, vinculados os documentos apresentados pelos licitantes e subordinados aos critérios de rigorosa imparcialidade. (...) 4. Não há como se prestigiar, em regime democrático, solução administrativa que acena para imposição da vontade pessoal do agente público e que se apresenta como desvirtuadora dos princípios da legalidade, da impessoalidade, da igualdade, da transparência e da verdade”. (STJ. MS nº 5287, Rel. Min. José Delgado, DJ de 09.03.1998)</w:t>
      </w:r>
    </w:p>
    <w:p w:rsidR="00A81B8F" w:rsidRPr="00155A18" w:rsidRDefault="00A81B8F" w:rsidP="008B1869">
      <w:pPr>
        <w:tabs>
          <w:tab w:val="left" w:pos="3495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O Sr. Pregoeiro não pode aceitar a proposta da empresa </w:t>
      </w:r>
      <w:r w:rsidR="001054E6">
        <w:rPr>
          <w:rFonts w:ascii="Book Antiqua" w:hAnsi="Book Antiqua"/>
          <w:sz w:val="26"/>
          <w:szCs w:val="26"/>
        </w:rPr>
        <w:t>PONTUAL SERVIÇO TERCEIRIZADOS LTDA- EPP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 w:rsidRPr="00155A18">
        <w:rPr>
          <w:rFonts w:ascii="Book Antiqua" w:hAnsi="Book Antiqua" w:cs="Times New Roman"/>
          <w:sz w:val="26"/>
          <w:szCs w:val="26"/>
        </w:rPr>
        <w:t>em face da constatação de irregularidades em relação às condições de habilitação técnica, jurídica e econômico-financeira.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>É dever do Sr. Pregoeiro verificar a conformidade da proposta estritamente com os termos do edital e da legislação vigente, deixando de promover a classificação de proposta em desconformidade com as exigências do instrumento convocatório e da lei.</w:t>
      </w:r>
    </w:p>
    <w:p w:rsidR="008A5B80" w:rsidRDefault="00A81B8F" w:rsidP="008A5B80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 xml:space="preserve">Ante o exposto, requer-se a desclassificação da proposta da empresa </w:t>
      </w:r>
      <w:r w:rsidR="001054E6" w:rsidRPr="001054E6">
        <w:rPr>
          <w:rFonts w:ascii="Book Antiqua" w:hAnsi="Book Antiqua" w:cs="Times New Roman"/>
          <w:b/>
          <w:sz w:val="26"/>
          <w:szCs w:val="26"/>
        </w:rPr>
        <w:t>PONTUAL SERVIÇO TERCEIRIZADOS LTDA- EPP</w:t>
      </w:r>
      <w:r w:rsidRPr="00155A18">
        <w:rPr>
          <w:rFonts w:ascii="Book Antiqua" w:hAnsi="Book Antiqua" w:cs="Times New Roman"/>
          <w:sz w:val="26"/>
          <w:szCs w:val="26"/>
        </w:rPr>
        <w:t xml:space="preserve"> no Pregão Eletrônico nº: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02</w:t>
      </w:r>
      <w:r w:rsidRPr="00155A18">
        <w:rPr>
          <w:rFonts w:ascii="Book Antiqua" w:hAnsi="Book Antiqua" w:cs="Times New Roman"/>
          <w:sz w:val="26"/>
          <w:szCs w:val="26"/>
        </w:rPr>
        <w:t>/</w:t>
      </w:r>
      <w:r>
        <w:rPr>
          <w:rFonts w:ascii="Book Antiqua" w:hAnsi="Book Antiqua" w:cs="Times New Roman"/>
          <w:sz w:val="26"/>
          <w:szCs w:val="26"/>
        </w:rPr>
        <w:t>2017</w:t>
      </w:r>
      <w:r w:rsidRPr="00155A18">
        <w:rPr>
          <w:rFonts w:ascii="Book Antiqua" w:hAnsi="Book Antiqua" w:cs="Times New Roman"/>
          <w:sz w:val="26"/>
          <w:szCs w:val="26"/>
        </w:rPr>
        <w:t>, em face das irregularidades aqui apontadas.</w:t>
      </w:r>
    </w:p>
    <w:p w:rsidR="006C57F3" w:rsidRDefault="006C57F3" w:rsidP="008A5B80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</w:p>
    <w:p w:rsidR="008A5B80" w:rsidRPr="008A5B80" w:rsidRDefault="008A5B80" w:rsidP="008A5B8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8A5B80">
        <w:rPr>
          <w:rFonts w:ascii="Book Antiqua" w:hAnsi="Book Antiqua"/>
          <w:b/>
          <w:sz w:val="26"/>
          <w:szCs w:val="26"/>
        </w:rPr>
        <w:t xml:space="preserve">DILIGÊNCIA CONTRATOS – APRESENTAÇÃO DE CAGED E NF – SUCESSÃO EMPRESARIAL </w:t>
      </w:r>
    </w:p>
    <w:p w:rsidR="008A5B80" w:rsidRDefault="008A5B80" w:rsidP="008A5B80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Por fim, solicita-se que o I. Pregoeiro proceda com diligência no que concerne aos contratos pretéritos da PONTUAL, requerendo a apresentação de CAGED e NF dos contratos privados da Recorrida.</w:t>
      </w:r>
    </w:p>
    <w:p w:rsidR="008A5B80" w:rsidRDefault="008A5B80" w:rsidP="008A5B80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Tal requerimento tem por alicerce a alteração da razão social da Recorrida, que possui praticamente o mesmo nome e possuía contratos com a mesma logo e endereço da empresa Tecnolimp Serviços Ltda, inscrita no CNPJ sob n° 73.767.790/0001-09.</w:t>
      </w:r>
    </w:p>
    <w:p w:rsidR="008A5B80" w:rsidRDefault="008A5B80" w:rsidP="008A5B80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Importa-se na diligência com o desígnio de averiguar eventual </w:t>
      </w:r>
      <w:r w:rsidR="00A712D2">
        <w:rPr>
          <w:rFonts w:ascii="Book Antiqua" w:hAnsi="Book Antiqua"/>
          <w:sz w:val="26"/>
          <w:szCs w:val="26"/>
        </w:rPr>
        <w:t>utilização dupla de atestados que não foram conferidos especificamente a Recorrida.</w:t>
      </w:r>
    </w:p>
    <w:p w:rsidR="00A712D2" w:rsidRDefault="00A712D2" w:rsidP="00A712D2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Vale destacar que em circunstâncias de obscuridade e/ou possibilidade de informações desconexas na documentação apresentadas, é poder/dever de o Pregoeiro diligenciar sobre sua autenticidade, em buscar da plena segurança e igualdade no processo licitatório.</w:t>
      </w:r>
    </w:p>
    <w:p w:rsidR="00A712D2" w:rsidRDefault="00A712D2" w:rsidP="00A712D2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sentido, ensina Marçal Justen Filho:</w:t>
      </w:r>
    </w:p>
    <w:p w:rsidR="00A712D2" w:rsidRPr="00C34AB4" w:rsidRDefault="00A712D2" w:rsidP="00A712D2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34AB4">
        <w:rPr>
          <w:rFonts w:ascii="Book Antiqua" w:hAnsi="Book Antiqua"/>
          <w:i/>
          <w:sz w:val="26"/>
          <w:szCs w:val="26"/>
        </w:rPr>
        <w:t xml:space="preserve">“Em primeiro lugar, deve destacar-se que não existe uma competência discricionária para escolher entre realizar ou não a diligência. Se os documentos apresentados pelo particular ou as informações neles contidas envolverem pontos obscuros – apurados de ofício pela Comissão ou por provocação de interessados -, a realização de diligências será obrigatória. Ou seja, não é possível decidir a questão (seja para desclassificar o licitante, seja para reputar superada a questão) mediante uma escolha de mera vontade. </w:t>
      </w:r>
      <w:r w:rsidRPr="00C34AB4">
        <w:rPr>
          <w:rFonts w:ascii="Book Antiqua" w:hAnsi="Book Antiqua"/>
          <w:b/>
          <w:i/>
          <w:sz w:val="26"/>
          <w:szCs w:val="26"/>
        </w:rPr>
        <w:t>Portanto, a realização da diligência será obrigatória se houver dúvidas relevantes</w:t>
      </w:r>
      <w:r w:rsidRPr="00C34AB4">
        <w:rPr>
          <w:rFonts w:ascii="Book Antiqua" w:hAnsi="Book Antiqua"/>
          <w:i/>
          <w:sz w:val="26"/>
          <w:szCs w:val="26"/>
        </w:rPr>
        <w:t>.</w:t>
      </w:r>
      <w:r>
        <w:rPr>
          <w:rStyle w:val="Refdenotaderodap"/>
          <w:rFonts w:ascii="Book Antiqua" w:hAnsi="Book Antiqua"/>
          <w:i/>
          <w:sz w:val="26"/>
          <w:szCs w:val="26"/>
        </w:rPr>
        <w:footnoteReference w:id="5"/>
      </w:r>
      <w:r w:rsidRPr="00C34AB4">
        <w:rPr>
          <w:rFonts w:ascii="Book Antiqua" w:hAnsi="Book Antiqua"/>
          <w:i/>
          <w:sz w:val="26"/>
          <w:szCs w:val="26"/>
        </w:rPr>
        <w:t>”</w:t>
      </w:r>
    </w:p>
    <w:p w:rsidR="00A712D2" w:rsidRPr="008A5B80" w:rsidRDefault="00A712D2" w:rsidP="008A5B80">
      <w:pPr>
        <w:spacing w:before="100" w:beforeAutospacing="1" w:after="100" w:afterAutospacing="1"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Em assim sendo, requer seja realizada diligência para averiguar a veracidade dos atestados privados, em virtude da Recorrida possuir outra empresa no mesmo endereço e com logos de extrema similitude. </w:t>
      </w:r>
    </w:p>
    <w:p w:rsidR="008A5B80" w:rsidRDefault="008A5B80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</w:p>
    <w:p w:rsidR="007E1052" w:rsidRPr="008A5B80" w:rsidRDefault="007764FD" w:rsidP="008A5B8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Book Antiqua" w:hAnsi="Book Antiqua"/>
          <w:b/>
          <w:sz w:val="26"/>
          <w:szCs w:val="26"/>
        </w:rPr>
      </w:pPr>
      <w:r w:rsidRPr="008A5B80">
        <w:rPr>
          <w:rFonts w:ascii="Book Antiqua" w:hAnsi="Book Antiqua"/>
          <w:b/>
          <w:sz w:val="26"/>
          <w:szCs w:val="26"/>
        </w:rPr>
        <w:t xml:space="preserve">DO REQUERIMENTO FINAL 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Diante do exposto, requer: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a) o recebimento destas razões dando-lhe efeito suspensivo, eis que tempestivas, sendo devidamente autuadas e processadas na forma da lei;</w:t>
      </w:r>
    </w:p>
    <w:p w:rsid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 xml:space="preserve">b) A inabilitação e desclassificação da proposta da empresa </w:t>
      </w:r>
      <w:r w:rsidR="00180338">
        <w:rPr>
          <w:rFonts w:ascii="Book Antiqua" w:hAnsi="Book Antiqua"/>
          <w:sz w:val="26"/>
          <w:szCs w:val="26"/>
        </w:rPr>
        <w:t xml:space="preserve">PONTUAL SERVIÇOS </w:t>
      </w:r>
      <w:r w:rsidR="001054E6">
        <w:rPr>
          <w:rFonts w:ascii="Book Antiqua" w:hAnsi="Book Antiqua"/>
          <w:sz w:val="26"/>
          <w:szCs w:val="26"/>
        </w:rPr>
        <w:t>TERCEIRIZADOS LTDA- EPP</w:t>
      </w:r>
      <w:r w:rsidRPr="007764FD">
        <w:rPr>
          <w:rFonts w:ascii="Book Antiqua" w:hAnsi="Book Antiqua" w:cs="Times New Roman"/>
          <w:sz w:val="26"/>
          <w:szCs w:val="26"/>
        </w:rPr>
        <w:t xml:space="preserve"> no Pregão Eletrônico nº: </w:t>
      </w:r>
      <w:r>
        <w:rPr>
          <w:rFonts w:ascii="Book Antiqua" w:hAnsi="Book Antiqua" w:cs="Times New Roman"/>
          <w:sz w:val="26"/>
          <w:szCs w:val="26"/>
        </w:rPr>
        <w:t>02/2017</w:t>
      </w:r>
      <w:r w:rsidRPr="007764FD">
        <w:rPr>
          <w:rFonts w:ascii="Book Antiqua" w:hAnsi="Book Antiqua" w:cs="Times New Roman"/>
          <w:sz w:val="26"/>
          <w:szCs w:val="26"/>
        </w:rPr>
        <w:t xml:space="preserve"> em face das</w:t>
      </w:r>
      <w:r w:rsidR="00A712D2">
        <w:rPr>
          <w:rFonts w:ascii="Book Antiqua" w:hAnsi="Book Antiqua" w:cs="Times New Roman"/>
          <w:sz w:val="26"/>
          <w:szCs w:val="26"/>
        </w:rPr>
        <w:t xml:space="preserve"> irregularidades aqui apontadas;</w:t>
      </w:r>
    </w:p>
    <w:p w:rsidR="00A712D2" w:rsidRDefault="00A712D2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c) </w:t>
      </w:r>
      <w:r>
        <w:rPr>
          <w:rFonts w:ascii="Book Antiqua" w:hAnsi="Book Antiqua"/>
          <w:sz w:val="26"/>
          <w:szCs w:val="26"/>
        </w:rPr>
        <w:t>Seja realizada diligência para averiguar a veracidade dos atestados privados, em virtude da Recorrida possuir outra empresa no mesmo endereço e com logos de extrema similitude.</w:t>
      </w:r>
    </w:p>
    <w:p w:rsidR="00222CC3" w:rsidRPr="00155A18" w:rsidRDefault="00222CC3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Pede deferimento.</w:t>
      </w:r>
    </w:p>
    <w:p w:rsidR="00222CC3" w:rsidRPr="00155A18" w:rsidRDefault="00222CC3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Curitiba, </w:t>
      </w:r>
      <w:r w:rsidR="007764FD">
        <w:rPr>
          <w:rFonts w:ascii="Book Antiqua" w:hAnsi="Book Antiqua" w:cs="Times New Roman"/>
          <w:sz w:val="26"/>
          <w:szCs w:val="26"/>
        </w:rPr>
        <w:t>02</w:t>
      </w:r>
      <w:r w:rsidR="00ED1A81" w:rsidRPr="00155A18">
        <w:rPr>
          <w:rFonts w:ascii="Book Antiqua" w:hAnsi="Book Antiqua" w:cs="Times New Roman"/>
          <w:sz w:val="26"/>
          <w:szCs w:val="26"/>
        </w:rPr>
        <w:t xml:space="preserve"> de </w:t>
      </w:r>
      <w:r w:rsidR="007764FD">
        <w:rPr>
          <w:rFonts w:ascii="Book Antiqua" w:hAnsi="Book Antiqua" w:cs="Times New Roman"/>
          <w:sz w:val="26"/>
          <w:szCs w:val="26"/>
        </w:rPr>
        <w:t>março</w:t>
      </w:r>
      <w:r w:rsidRPr="00155A18">
        <w:rPr>
          <w:rFonts w:ascii="Book Antiqua" w:hAnsi="Book Antiqua" w:cs="Times New Roman"/>
          <w:sz w:val="26"/>
          <w:szCs w:val="26"/>
        </w:rPr>
        <w:t xml:space="preserve"> de 201</w:t>
      </w:r>
      <w:r w:rsidR="003F76E6" w:rsidRPr="00155A18">
        <w:rPr>
          <w:rFonts w:ascii="Book Antiqua" w:hAnsi="Book Antiqua" w:cs="Times New Roman"/>
          <w:sz w:val="26"/>
          <w:szCs w:val="26"/>
        </w:rPr>
        <w:t>7</w:t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3F6B48" w:rsidRPr="00155A18" w:rsidRDefault="00ED1A81" w:rsidP="00ED1A81">
      <w:pPr>
        <w:spacing w:before="100" w:beforeAutospacing="1" w:after="100" w:afterAutospacing="1" w:line="360" w:lineRule="auto"/>
        <w:ind w:firstLine="709"/>
        <w:jc w:val="center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1A2FC4">
        <w:rPr>
          <w:rFonts w:ascii="Book Antiqua" w:hAnsi="Book Antiqua"/>
          <w:b/>
          <w:sz w:val="26"/>
          <w:szCs w:val="26"/>
        </w:rPr>
        <w:t>EIRELI</w:t>
      </w:r>
    </w:p>
    <w:sectPr w:rsidR="003F6B48" w:rsidRPr="00155A18" w:rsidSect="008C6A7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53" w:rsidRDefault="00B33453" w:rsidP="009F02B2">
      <w:pPr>
        <w:spacing w:after="0" w:line="240" w:lineRule="auto"/>
      </w:pPr>
      <w:r>
        <w:separator/>
      </w:r>
    </w:p>
  </w:endnote>
  <w:endnote w:type="continuationSeparator" w:id="0">
    <w:p w:rsidR="00B33453" w:rsidRDefault="00B33453" w:rsidP="009F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907"/>
      <w:docPartObj>
        <w:docPartGallery w:val="Page Numbers (Bottom of Page)"/>
        <w:docPartUnique/>
      </w:docPartObj>
    </w:sdtPr>
    <w:sdtEndPr/>
    <w:sdtContent>
      <w:p w:rsidR="001C7ECB" w:rsidRDefault="0059128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ECB" w:rsidRDefault="001C7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53" w:rsidRDefault="00B33453" w:rsidP="009F02B2">
      <w:pPr>
        <w:spacing w:after="0" w:line="240" w:lineRule="auto"/>
      </w:pPr>
      <w:r>
        <w:separator/>
      </w:r>
    </w:p>
  </w:footnote>
  <w:footnote w:type="continuationSeparator" w:id="0">
    <w:p w:rsidR="00B33453" w:rsidRDefault="00B33453" w:rsidP="009F02B2">
      <w:pPr>
        <w:spacing w:after="0" w:line="240" w:lineRule="auto"/>
      </w:pPr>
      <w:r>
        <w:continuationSeparator/>
      </w:r>
    </w:p>
  </w:footnote>
  <w:footnote w:id="1">
    <w:p w:rsidR="007D528F" w:rsidRDefault="007D528F" w:rsidP="007D528F">
      <w:pPr>
        <w:pStyle w:val="Textodenotaderodap"/>
      </w:pPr>
      <w:r>
        <w:rPr>
          <w:rStyle w:val="Refdenotaderodap"/>
        </w:rPr>
        <w:footnoteRef/>
      </w:r>
      <w:r>
        <w:t xml:space="preserve"> NIEBUHR, Joel de Menezes. </w:t>
      </w:r>
      <w:r w:rsidRPr="00C7176D">
        <w:rPr>
          <w:b/>
        </w:rPr>
        <w:t>Licitação Pú</w:t>
      </w:r>
      <w:r w:rsidR="00C7176D" w:rsidRPr="00C7176D">
        <w:rPr>
          <w:b/>
        </w:rPr>
        <w:t>blica e Contrato Administrativo</w:t>
      </w:r>
      <w:r>
        <w:t>. Curitiba: Zenite, 2008, p. 233</w:t>
      </w:r>
      <w:r w:rsidR="00C7176D">
        <w:t>.</w:t>
      </w:r>
    </w:p>
  </w:footnote>
  <w:footnote w:id="2">
    <w:p w:rsidR="007764FD" w:rsidRPr="00A774FC" w:rsidRDefault="007764FD" w:rsidP="007764FD">
      <w:pPr>
        <w:pStyle w:val="Textodenotaderodap"/>
      </w:pPr>
      <w:r>
        <w:rPr>
          <w:rStyle w:val="Refdenotaderodap"/>
        </w:rPr>
        <w:footnoteRef/>
      </w:r>
      <w:r>
        <w:t xml:space="preserve"> JUSTEN FILHO, Marçal. </w:t>
      </w:r>
      <w:r>
        <w:rPr>
          <w:b/>
        </w:rPr>
        <w:t>Comentários à Lei de Licitações e Contratos Administrativos</w:t>
      </w:r>
      <w:r>
        <w:t>. 14° Edição. São Paulo: Dialética, 2010. Pág. 599.</w:t>
      </w:r>
    </w:p>
  </w:footnote>
  <w:footnote w:id="3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Entendimento também subscrito por Marçal Justen Filho: </w:t>
      </w:r>
      <w:r w:rsidRPr="00B34F54">
        <w:rPr>
          <w:i/>
        </w:rPr>
        <w:t>“Ao submeter a Administração ao princípio da vinculação ao ato convocatório, a Lei nº 8.666 impõe o dever de exaustão da discricionariedade por ocasião de sua elaboração. Não teria cabimento determinar a estrita vinculação ao edital e, simultaneamente, autorizar a atribuição de competência discricionária para a Comissão indicar, por ocasião do julgamento de alguma das fases os critérios de julgamento. TODOS OS CRITÉRIOS E TODAS AS EXIGÊNCIAS DEVERÃO CONSTAR, DE MODO EXPRESSO E EXAUSTIVO, NO CORPO DO EDITAL. Jurisprudência do STJ: “Em resumo: O PODER DISCRICIONÁRIO DA ADMINISTRAÇÃO ESGOTASE COM A ELABORAÇÃO DO EDITAL DE LICITAÇÃO. A partir daí, nos termos do vocábulo constante da própria Lei, a Administração Pública vinculasse ‘estritamente’ a ele” (REsp nº 421.946/DF, 1ª T., rel. Min. Francisco Falcão, j. em 07/02/2006. DJ de 06.03.3006, p. 163) (JUSTEM FILHO, Marçal. Comentários à lei de licitações e contratos administrativos. 14.ed. São Paulo: Dialética, 2010, p. 570.)</w:t>
      </w:r>
    </w:p>
  </w:footnote>
  <w:footnote w:id="4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Tal como do TCU: “Contratação pública – Licitação – Julgamento Objetivo – TCU</w:t>
      </w:r>
      <w:r w:rsidR="008B1869">
        <w:t xml:space="preserve"> </w:t>
      </w:r>
      <w:r>
        <w:t>É dever da administração adotar “critérios objetivos para o julgamento da proposta técnica, de modo a atender ao princípio do julgamento objetivo, previsto no art. 3º e no art. 40, inc. VII, ambos da Lei nº 8.666/93” (TCU, Acórdão nº 542/2003, 1ª Câmara, Rel. Min. Marcos Vinicios Vilaça, DOU de 03.04.2003, veiculado na Revista Zênite de Licitações e Contratos – ILC, Curitiba: Zênite, n. 113, p. 639, jul. 2003, seção Tribunais de Contas.)”</w:t>
      </w:r>
    </w:p>
  </w:footnote>
  <w:footnote w:id="5">
    <w:p w:rsidR="00A712D2" w:rsidRPr="001A5161" w:rsidRDefault="00A712D2" w:rsidP="00A712D2">
      <w:pPr>
        <w:pStyle w:val="Textodenotaderodap"/>
      </w:pPr>
      <w:r>
        <w:rPr>
          <w:rStyle w:val="Refdenotaderodap"/>
        </w:rPr>
        <w:footnoteRef/>
      </w:r>
      <w:r>
        <w:t xml:space="preserve"> JUSTEN FILHO, Marçal. </w:t>
      </w:r>
      <w:r>
        <w:rPr>
          <w:b/>
        </w:rPr>
        <w:t xml:space="preserve">Comentários à Lei de Licitações e Contratos Administrativos. </w:t>
      </w:r>
      <w:r>
        <w:t>14° Edição. São Paulo: Dialética, 2010. Pág. 598/599.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95A"/>
    <w:multiLevelType w:val="hybridMultilevel"/>
    <w:tmpl w:val="32CC4A0A"/>
    <w:lvl w:ilvl="0" w:tplc="F0045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14020"/>
    <w:multiLevelType w:val="hybridMultilevel"/>
    <w:tmpl w:val="32CC4A0A"/>
    <w:lvl w:ilvl="0" w:tplc="F0045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85F2D"/>
    <w:multiLevelType w:val="hybridMultilevel"/>
    <w:tmpl w:val="45B46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1A1B"/>
    <w:multiLevelType w:val="hybridMultilevel"/>
    <w:tmpl w:val="7ADEF72A"/>
    <w:lvl w:ilvl="0" w:tplc="A36AA39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8"/>
    <w:rsid w:val="000073B3"/>
    <w:rsid w:val="00072CAF"/>
    <w:rsid w:val="0009427B"/>
    <w:rsid w:val="000E4649"/>
    <w:rsid w:val="000F25A2"/>
    <w:rsid w:val="001054E6"/>
    <w:rsid w:val="001166FD"/>
    <w:rsid w:val="0012324C"/>
    <w:rsid w:val="00125B8B"/>
    <w:rsid w:val="00125DB9"/>
    <w:rsid w:val="00126D46"/>
    <w:rsid w:val="001539E2"/>
    <w:rsid w:val="00155A18"/>
    <w:rsid w:val="00160ACE"/>
    <w:rsid w:val="00180338"/>
    <w:rsid w:val="001A2FC4"/>
    <w:rsid w:val="001B053C"/>
    <w:rsid w:val="001C7ECB"/>
    <w:rsid w:val="001E3A4D"/>
    <w:rsid w:val="00205C83"/>
    <w:rsid w:val="002147A0"/>
    <w:rsid w:val="00222CC3"/>
    <w:rsid w:val="0028397A"/>
    <w:rsid w:val="00284AC6"/>
    <w:rsid w:val="002A0A4D"/>
    <w:rsid w:val="002A7E08"/>
    <w:rsid w:val="002C479C"/>
    <w:rsid w:val="002C62AF"/>
    <w:rsid w:val="002C7B9B"/>
    <w:rsid w:val="002E6CAC"/>
    <w:rsid w:val="002F3464"/>
    <w:rsid w:val="00315E64"/>
    <w:rsid w:val="00335BCA"/>
    <w:rsid w:val="0038349C"/>
    <w:rsid w:val="00390D3A"/>
    <w:rsid w:val="003C3C17"/>
    <w:rsid w:val="003F6B48"/>
    <w:rsid w:val="003F76E6"/>
    <w:rsid w:val="00407EA1"/>
    <w:rsid w:val="00411109"/>
    <w:rsid w:val="00420870"/>
    <w:rsid w:val="00453705"/>
    <w:rsid w:val="004E7D2C"/>
    <w:rsid w:val="00500774"/>
    <w:rsid w:val="00520357"/>
    <w:rsid w:val="005534EC"/>
    <w:rsid w:val="005540E1"/>
    <w:rsid w:val="00574444"/>
    <w:rsid w:val="00585A38"/>
    <w:rsid w:val="00591287"/>
    <w:rsid w:val="00596567"/>
    <w:rsid w:val="005B5A2E"/>
    <w:rsid w:val="005B5A74"/>
    <w:rsid w:val="005D3801"/>
    <w:rsid w:val="005D7BAE"/>
    <w:rsid w:val="005F476D"/>
    <w:rsid w:val="0063655E"/>
    <w:rsid w:val="0065372D"/>
    <w:rsid w:val="006645C6"/>
    <w:rsid w:val="00691406"/>
    <w:rsid w:val="006A52C7"/>
    <w:rsid w:val="006B3007"/>
    <w:rsid w:val="006C57F3"/>
    <w:rsid w:val="006D0683"/>
    <w:rsid w:val="006D47A5"/>
    <w:rsid w:val="006E0FB3"/>
    <w:rsid w:val="0072248F"/>
    <w:rsid w:val="00736498"/>
    <w:rsid w:val="00775E9E"/>
    <w:rsid w:val="007764FD"/>
    <w:rsid w:val="0078234F"/>
    <w:rsid w:val="00796DF7"/>
    <w:rsid w:val="007A64D4"/>
    <w:rsid w:val="007C5A1A"/>
    <w:rsid w:val="007C63AF"/>
    <w:rsid w:val="007D528F"/>
    <w:rsid w:val="007E1052"/>
    <w:rsid w:val="007F24AA"/>
    <w:rsid w:val="008A5329"/>
    <w:rsid w:val="008A5B80"/>
    <w:rsid w:val="008B1869"/>
    <w:rsid w:val="008C6A7C"/>
    <w:rsid w:val="008E21D4"/>
    <w:rsid w:val="009928D7"/>
    <w:rsid w:val="009B49F6"/>
    <w:rsid w:val="009F02B2"/>
    <w:rsid w:val="00A031E7"/>
    <w:rsid w:val="00A20EB7"/>
    <w:rsid w:val="00A243ED"/>
    <w:rsid w:val="00A45A3D"/>
    <w:rsid w:val="00A606EA"/>
    <w:rsid w:val="00A712D2"/>
    <w:rsid w:val="00A774FC"/>
    <w:rsid w:val="00A81B8F"/>
    <w:rsid w:val="00A83360"/>
    <w:rsid w:val="00AA4F14"/>
    <w:rsid w:val="00AB0354"/>
    <w:rsid w:val="00AC7780"/>
    <w:rsid w:val="00B04AFF"/>
    <w:rsid w:val="00B33453"/>
    <w:rsid w:val="00B551F8"/>
    <w:rsid w:val="00BA5B1B"/>
    <w:rsid w:val="00BC4662"/>
    <w:rsid w:val="00BD7E5E"/>
    <w:rsid w:val="00BE7DC0"/>
    <w:rsid w:val="00C02159"/>
    <w:rsid w:val="00C21477"/>
    <w:rsid w:val="00C31245"/>
    <w:rsid w:val="00C7176D"/>
    <w:rsid w:val="00CC1E63"/>
    <w:rsid w:val="00D1465F"/>
    <w:rsid w:val="00D33B31"/>
    <w:rsid w:val="00D4494C"/>
    <w:rsid w:val="00D46834"/>
    <w:rsid w:val="00D74F33"/>
    <w:rsid w:val="00DB64CC"/>
    <w:rsid w:val="00E0467B"/>
    <w:rsid w:val="00E4583D"/>
    <w:rsid w:val="00E9728B"/>
    <w:rsid w:val="00EC1289"/>
    <w:rsid w:val="00ED1A81"/>
    <w:rsid w:val="00ED4642"/>
    <w:rsid w:val="00F1153D"/>
    <w:rsid w:val="00F44038"/>
    <w:rsid w:val="00F717AF"/>
    <w:rsid w:val="00FA190D"/>
    <w:rsid w:val="00FE43EC"/>
    <w:rsid w:val="00FE65F0"/>
    <w:rsid w:val="00FF352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E33B-8831-40C1-A09B-3526E92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rogerio da costa silva</cp:lastModifiedBy>
  <cp:revision>2</cp:revision>
  <cp:lastPrinted>2014-10-06T15:57:00Z</cp:lastPrinted>
  <dcterms:created xsi:type="dcterms:W3CDTF">2017-03-03T11:48:00Z</dcterms:created>
  <dcterms:modified xsi:type="dcterms:W3CDTF">2017-03-03T11:48:00Z</dcterms:modified>
</cp:coreProperties>
</file>