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Curitiba,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06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maio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 de 202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right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INFORMATIVO Nº 00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/202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ASSUNTO: </w:t>
      </w:r>
      <w:r w:rsidDel="00000000" w:rsidR="00000000" w:rsidRPr="00000000">
        <w:rPr>
          <w:rFonts w:ascii="Open Sans" w:cs="Open Sans" w:eastAsia="Open Sans" w:hAnsi="Open Sans"/>
          <w:color w:val="222222"/>
          <w:vertAlign w:val="baseline"/>
          <w:rtl w:val="0"/>
        </w:rPr>
        <w:t xml:space="preserve">Procedimentos </w:t>
      </w:r>
      <w:r w:rsidDel="00000000" w:rsidR="00000000" w:rsidRPr="00000000">
        <w:rPr>
          <w:rFonts w:ascii="Open Sans" w:cs="Open Sans" w:eastAsia="Open Sans" w:hAnsi="Open Sans"/>
          <w:color w:val="222222"/>
          <w:rtl w:val="0"/>
        </w:rPr>
        <w:t xml:space="preserve">para aquisições PNAE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Às Diretorias Gerais </w:t>
      </w: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campi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Às Diretorias de Planejamento e de Administração dos </w:t>
      </w: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campi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Às Seções de compras e Contratos dos </w:t>
      </w: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campi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Senhores(as),</w:t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Cumprimentando-os cordialmente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segue algumas orientações quanto às aquisições do PNAE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1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e orientações: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1069" w:hanging="360"/>
        <w:jc w:val="both"/>
        <w:rPr>
          <w:rFonts w:ascii="Open Sans" w:cs="Open Sans" w:eastAsia="Open Sans" w:hAnsi="Open Sans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As dispensas de licitação para aquisição do PNAE, seja a aquisição pela lei de licitação (8.666/93 ou 14.133/21) ou pela lei do PNAE (11.947/09) deverão ser registradas pelos campi na UASG 158009, seguindo a numeração a ser obtida e registrada na planilha criada para este fim conforme link no final deste comunicado. Desta forma seguindo as diretrizes da  PORTARIA NORMATIVA - PROAD Nº 23, de 19 de janeiro de 2021.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1069" w:hanging="360"/>
        <w:jc w:val="both"/>
        <w:rPr>
          <w:rFonts w:ascii="Open Sans" w:cs="Open Sans" w:eastAsia="Open Sans" w:hAnsi="Open Sans"/>
        </w:rPr>
      </w:pPr>
      <w:bookmarkStart w:colFirst="0" w:colLast="0" w:name="_9yetrs9xb3i5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Quanto à numeração do edital de chamada pública, esta seguirá a sequência controlada pelo campus.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1069" w:hanging="360"/>
        <w:jc w:val="both"/>
        <w:rPr>
          <w:rFonts w:ascii="Open Sans" w:cs="Open Sans" w:eastAsia="Open Sans" w:hAnsi="Open Sans"/>
        </w:rPr>
      </w:pPr>
      <w:bookmarkStart w:colFirst="0" w:colLast="0" w:name="_owvacwbi9tak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A planilha compartilhada para controle da numeração está no link,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https://docs.google.com/spreadsheets/u/1/d/1mOlc3b8aeAthl0s-wHROflw0pSaVY_yTKFKL_WWa7DU/edit#gid=516303568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1"/>
        <w:ind w:left="0" w:firstLine="0"/>
        <w:jc w:val="both"/>
        <w:rPr>
          <w:rFonts w:ascii="Open Sans" w:cs="Open Sans" w:eastAsia="Open Sans" w:hAnsi="Open Sans"/>
          <w:vertAlign w:val="baseline"/>
        </w:rPr>
      </w:pPr>
      <w:bookmarkStart w:colFirst="0" w:colLast="0" w:name="_etq3f8u8w7s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Dúvidas, sugestões e ou esclarecimentos, estamos à disposição.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ind w:firstLine="709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widowControl w:val="1"/>
        <w:shd w:fill="ffffff" w:val="clear"/>
        <w:ind w:firstLine="709"/>
        <w:jc w:val="both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Diretoria de Licitações e Contratos (DLC/PROAD).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-179069</wp:posOffset>
          </wp:positionH>
          <wp:positionV relativeFrom="paragraph">
            <wp:posOffset>-2539</wp:posOffset>
          </wp:positionV>
          <wp:extent cx="370840" cy="7327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732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INSTITUTO FEDERAL DO PARANÁ | Reitoria – PROAD/DLC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hd w:fill="ffffff" w:val="clear"/>
      <w:rPr>
        <w:rFonts w:ascii="Open Sans" w:cs="Open Sans" w:eastAsia="Open Sans" w:hAnsi="Open Sans"/>
        <w:color w:val="222222"/>
        <w:sz w:val="19"/>
        <w:szCs w:val="19"/>
        <w:vertAlign w:val="baseline"/>
      </w:rPr>
    </w:pPr>
    <w:r w:rsidDel="00000000" w:rsidR="00000000" w:rsidRPr="00000000">
      <w:rPr>
        <w:rFonts w:ascii="Open Sans" w:cs="Open Sans" w:eastAsia="Open Sans" w:hAnsi="Open Sans"/>
        <w:color w:val="666666"/>
        <w:sz w:val="19"/>
        <w:szCs w:val="19"/>
        <w:vertAlign w:val="baseline"/>
        <w:rtl w:val="0"/>
      </w:rPr>
      <w:t xml:space="preserve">      Rua Voluntários da Pátria, 475 - Sala 2007 - Centro Curitiba/PR.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left" w:pos="1710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753735" cy="67310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u/1/d/1mOlc3b8aeAthl0s-wHROflw0pSaVY_yTKFKL_WWa7DU/edit#gid=516303568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